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백그라운드 스케줄러 및 워커 노드 분산 도입 견적서</w:t>
      </w:r>
    </w:p>
    <w:p>
      <w:r>
        <w:t>이 문서는 Vibe AI Crawler 시스템의 성능과 안정성을 극대화하기 위해, 기존 시스템을 통합 관리형 버퍼 큐와 분산 워커(Worker) 노드 아키텍처로 개편하는데 필요한 작업 범위와 예상 소요 비용을 정리한 문서입니다.</w:t>
        <w:br/>
      </w:r>
    </w:p>
    <w:p>
      <w:pPr>
        <w:pStyle w:val="Heading2"/>
      </w:pPr>
      <w:r>
        <w:t>1. 요구사항 및 기능 명세</w:t>
      </w:r>
    </w:p>
    <w:p>
      <w:r>
        <w:t>외부 Worker 노드 추가 및 FastStream/Redis 비동기 큐 아키텍처 도입 시, 기존 단일 모놀리식 서버 구조에서 동작하던 백그라운드 스케줄러들을 통제하고 분리하는 상세 내역입니다.</w:t>
      </w:r>
    </w:p>
    <w:p>
      <w:pPr>
        <w:pStyle w:val="Heading3"/>
      </w:pPr>
      <w:r>
        <w:t>1.1 마스터 중심 스케줄러 (Master Only)</w:t>
      </w:r>
    </w:p>
    <w:p>
      <w:r>
        <w:t>• 체크 및 실행 서비스: 크론(Cron) 주기를 판단하여 PENDING 상태로 만들고, 도커를 직접 실행하지 않으며 발생 즉시 Redis 큐로 Push.</w:t>
        <w:br/>
        <w:t>• 관제 서비스: 워커가 가져간 작업이 장시간 RUNNING 상태로 멈춰 있을 때 복구.</w:t>
      </w:r>
    </w:p>
    <w:p>
      <w:pPr>
        <w:pStyle w:val="Heading3"/>
      </w:pPr>
      <w:r>
        <w:t>1.2 워커 중심 스케줄러 (Worker Only)</w:t>
      </w:r>
    </w:p>
    <w:p>
      <w:r>
        <w:t>• FastStream Consumer: Redis 감청 후 순차적으로 컨테이너 실행.</w:t>
        <w:br/>
        <w:t>• 클린업 크론: 잔여 데이터 및 파일 청소.</w:t>
      </w:r>
    </w:p>
    <w:p>
      <w:pPr>
        <w:pStyle w:val="Heading3"/>
      </w:pPr>
      <w:r>
        <w:t>1.3 인프라 및 통신 강건화(Robustness) 설계</w:t>
      </w:r>
    </w:p>
    <w:p>
      <w:r>
        <w:t>• 보안/스토리지: 외부망 방화벽 세팅 및 로컬 SSD 스토리지 사용.</w:t>
        <w:br/>
        <w:t>• 버퍼/보상망: 통신 단절 시 DB Buffer 적재 및 복구망 설계.</w:t>
        <w:br/>
      </w:r>
    </w:p>
    <w:p>
      <w:pPr>
        <w:pStyle w:val="Heading2"/>
      </w:pPr>
      <w:r>
        <w:t>2. 공수 및 난이도 산정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>
              <w:t>기능 세부분류</w:t>
            </w:r>
          </w:p>
        </w:tc>
        <w:tc>
          <w:tcPr>
            <w:tcW w:type="dxa" w:w="2160"/>
          </w:tcPr>
          <w:p>
            <w:r>
              <w:t>작업 난이도</w:t>
            </w:r>
          </w:p>
        </w:tc>
        <w:tc>
          <w:tcPr>
            <w:tcW w:type="dxa" w:w="2160"/>
          </w:tcPr>
          <w:p>
            <w:r>
              <w:t>산정 공수 (Base MD)</w:t>
            </w:r>
          </w:p>
        </w:tc>
        <w:tc>
          <w:tcPr>
            <w:tcW w:type="dxa" w:w="2160"/>
          </w:tcPr>
          <w:p>
            <w:r>
              <w:t>가중치</w:t>
            </w:r>
          </w:p>
        </w:tc>
        <w:tc>
          <w:tcPr>
            <w:tcW w:type="dxa" w:w="2160"/>
          </w:tcPr>
          <w:p>
            <w:r>
              <w:t>환산 대상 MD</w:t>
            </w:r>
          </w:p>
        </w:tc>
      </w:tr>
      <w:tr>
        <w:tc>
          <w:tcPr>
            <w:tcW w:type="dxa" w:w="1728"/>
          </w:tcPr>
          <w:p>
            <w:r>
              <w:t>1. Master 스케줄러 개편</w:t>
            </w:r>
          </w:p>
        </w:tc>
        <w:tc>
          <w:tcPr>
            <w:tcW w:type="dxa" w:w="1728"/>
          </w:tcPr>
          <w:p>
            <w:r>
              <w:t>4 (어려움)</w:t>
            </w:r>
          </w:p>
        </w:tc>
        <w:tc>
          <w:tcPr>
            <w:tcW w:type="dxa" w:w="1728"/>
          </w:tcPr>
          <w:p>
            <w:r>
              <w:t>4.5 MD</w:t>
            </w:r>
          </w:p>
        </w:tc>
        <w:tc>
          <w:tcPr>
            <w:tcW w:type="dxa" w:w="1728"/>
          </w:tcPr>
          <w:p>
            <w:r>
              <w:t>x2.0</w:t>
            </w:r>
          </w:p>
        </w:tc>
        <w:tc>
          <w:tcPr>
            <w:tcW w:type="dxa" w:w="1728"/>
          </w:tcPr>
          <w:p>
            <w:r>
              <w:t>9.00 MD</w:t>
            </w:r>
          </w:p>
        </w:tc>
      </w:tr>
      <w:tr>
        <w:tc>
          <w:tcPr>
            <w:tcW w:type="dxa" w:w="1728"/>
          </w:tcPr>
          <w:p>
            <w:r>
              <w:t>2. Worker 전용 스케줄러 구축</w:t>
            </w:r>
          </w:p>
        </w:tc>
        <w:tc>
          <w:tcPr>
            <w:tcW w:type="dxa" w:w="1728"/>
          </w:tcPr>
          <w:p>
            <w:r>
              <w:t>3 (보통)</w:t>
            </w:r>
          </w:p>
        </w:tc>
        <w:tc>
          <w:tcPr>
            <w:tcW w:type="dxa" w:w="1728"/>
          </w:tcPr>
          <w:p>
            <w:r>
              <w:t>2.0 MD</w:t>
            </w:r>
          </w:p>
        </w:tc>
        <w:tc>
          <w:tcPr>
            <w:tcW w:type="dxa" w:w="1728"/>
          </w:tcPr>
          <w:p>
            <w:r>
              <w:t>x1.5</w:t>
            </w:r>
          </w:p>
        </w:tc>
        <w:tc>
          <w:tcPr>
            <w:tcW w:type="dxa" w:w="1728"/>
          </w:tcPr>
          <w:p>
            <w:r>
              <w:t>3.00 MD</w:t>
            </w:r>
          </w:p>
        </w:tc>
      </w:tr>
      <w:tr>
        <w:tc>
          <w:tcPr>
            <w:tcW w:type="dxa" w:w="1728"/>
          </w:tcPr>
          <w:p>
            <w:r>
              <w:t>3. 방화벽/보안 및 인프라 분산</w:t>
            </w:r>
          </w:p>
        </w:tc>
        <w:tc>
          <w:tcPr>
            <w:tcW w:type="dxa" w:w="1728"/>
          </w:tcPr>
          <w:p>
            <w:r>
              <w:t>2 (쉬움)</w:t>
            </w:r>
          </w:p>
        </w:tc>
        <w:tc>
          <w:tcPr>
            <w:tcW w:type="dxa" w:w="1728"/>
          </w:tcPr>
          <w:p>
            <w:r>
              <w:t>1.0 MD</w:t>
            </w:r>
          </w:p>
        </w:tc>
        <w:tc>
          <w:tcPr>
            <w:tcW w:type="dxa" w:w="1728"/>
          </w:tcPr>
          <w:p>
            <w:r>
              <w:t>x1.0</w:t>
            </w:r>
          </w:p>
        </w:tc>
        <w:tc>
          <w:tcPr>
            <w:tcW w:type="dxa" w:w="1728"/>
          </w:tcPr>
          <w:p>
            <w:r>
              <w:t>1.00 MD</w:t>
            </w:r>
          </w:p>
        </w:tc>
      </w:tr>
      <w:tr>
        <w:tc>
          <w:tcPr>
            <w:tcW w:type="dxa" w:w="1728"/>
          </w:tcPr>
          <w:p>
            <w:r>
              <w:t>4. Status 안정성 연동 구축</w:t>
            </w:r>
          </w:p>
        </w:tc>
        <w:tc>
          <w:tcPr>
            <w:tcW w:type="dxa" w:w="1728"/>
          </w:tcPr>
          <w:p>
            <w:r>
              <w:t>4 (어려움)</w:t>
            </w:r>
          </w:p>
        </w:tc>
        <w:tc>
          <w:tcPr>
            <w:tcW w:type="dxa" w:w="1728"/>
          </w:tcPr>
          <w:p>
            <w:r>
              <w:t>1.0 MD</w:t>
            </w:r>
          </w:p>
        </w:tc>
        <w:tc>
          <w:tcPr>
            <w:tcW w:type="dxa" w:w="1728"/>
          </w:tcPr>
          <w:p>
            <w:r>
              <w:t>x2.0</w:t>
            </w:r>
          </w:p>
        </w:tc>
        <w:tc>
          <w:tcPr>
            <w:tcW w:type="dxa" w:w="1728"/>
          </w:tcPr>
          <w:p>
            <w:r>
              <w:t>2.00 MD</w:t>
            </w:r>
          </w:p>
        </w:tc>
      </w:tr>
      <w:tr>
        <w:tc>
          <w:tcPr>
            <w:tcW w:type="dxa" w:w="1728"/>
          </w:tcPr>
          <w:p>
            <w:r>
              <w:t>5. 통합 연동 QA 및 부하 테스트</w:t>
            </w:r>
          </w:p>
        </w:tc>
        <w:tc>
          <w:tcPr>
            <w:tcW w:type="dxa" w:w="1728"/>
          </w:tcPr>
          <w:p>
            <w:r>
              <w:t>3 (보통)</w:t>
            </w:r>
          </w:p>
        </w:tc>
        <w:tc>
          <w:tcPr>
            <w:tcW w:type="dxa" w:w="1728"/>
          </w:tcPr>
          <w:p>
            <w:r>
              <w:t>5.0 MD</w:t>
            </w:r>
          </w:p>
        </w:tc>
        <w:tc>
          <w:tcPr>
            <w:tcW w:type="dxa" w:w="1728"/>
          </w:tcPr>
          <w:p>
            <w:r>
              <w:t>x1.0</w:t>
            </w:r>
          </w:p>
        </w:tc>
        <w:tc>
          <w:tcPr>
            <w:tcW w:type="dxa" w:w="1728"/>
          </w:tcPr>
          <w:p>
            <w:r>
              <w:t>5.00 MD</w:t>
            </w:r>
          </w:p>
        </w:tc>
      </w:tr>
      <w:tr>
        <w:tc>
          <w:tcPr>
            <w:tcW w:type="dxa" w:w="1728"/>
          </w:tcPr>
          <w:p>
            <w:r>
              <w:t>합계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13.5 MD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20.00 MD</w:t>
            </w:r>
          </w:p>
        </w:tc>
      </w:tr>
    </w:tbl>
    <w:p/>
    <w:p>
      <w:pPr>
        <w:pStyle w:val="Heading2"/>
      </w:pPr>
      <w:r>
        <w:t>3. 예상 소요 비용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 구분</w:t>
            </w:r>
          </w:p>
        </w:tc>
        <w:tc>
          <w:tcPr>
            <w:tcW w:type="dxa" w:w="2160"/>
          </w:tcPr>
          <w:p>
            <w:r>
              <w:t>환산 기간</w:t>
            </w:r>
          </w:p>
        </w:tc>
        <w:tc>
          <w:tcPr>
            <w:tcW w:type="dxa" w:w="2160"/>
          </w:tcPr>
          <w:p>
            <w:r>
              <w:t>기준 단가(1MD)</w:t>
            </w:r>
          </w:p>
        </w:tc>
        <w:tc>
          <w:tcPr>
            <w:tcW w:type="dxa" w:w="2160"/>
          </w:tcPr>
          <w:p>
            <w:r>
              <w:t>총 예상 견적 (원)</w:t>
            </w:r>
          </w:p>
        </w:tc>
      </w:tr>
      <w:tr>
        <w:tc>
          <w:tcPr>
            <w:tcW w:type="dxa" w:w="2160"/>
          </w:tcPr>
          <w:p>
            <w:r>
              <w:t>Master 스케줄러 개편</w:t>
            </w:r>
          </w:p>
        </w:tc>
        <w:tc>
          <w:tcPr>
            <w:tcW w:type="dxa" w:w="2160"/>
          </w:tcPr>
          <w:p>
            <w:r>
              <w:t>9.00 MD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1,800,000</w:t>
            </w:r>
          </w:p>
        </w:tc>
      </w:tr>
      <w:tr>
        <w:tc>
          <w:tcPr>
            <w:tcW w:type="dxa" w:w="2160"/>
          </w:tcPr>
          <w:p>
            <w:r>
              <w:t>Worker 전용 스케줄러 구축</w:t>
            </w:r>
          </w:p>
        </w:tc>
        <w:tc>
          <w:tcPr>
            <w:tcW w:type="dxa" w:w="2160"/>
          </w:tcPr>
          <w:p>
            <w:r>
              <w:t>3.00 MD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</w:tr>
      <w:tr>
        <w:tc>
          <w:tcPr>
            <w:tcW w:type="dxa" w:w="2160"/>
          </w:tcPr>
          <w:p>
            <w:r>
              <w:t>인프라/보안 및 안정성 구축</w:t>
            </w:r>
          </w:p>
        </w:tc>
        <w:tc>
          <w:tcPr>
            <w:tcW w:type="dxa" w:w="2160"/>
          </w:tcPr>
          <w:p>
            <w:r>
              <w:t>3.00 MD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</w:tr>
      <w:tr>
        <w:tc>
          <w:tcPr>
            <w:tcW w:type="dxa" w:w="2160"/>
          </w:tcPr>
          <w:p>
            <w:r>
              <w:t>운영 통합 QA 및 테스트</w:t>
            </w:r>
          </w:p>
        </w:tc>
        <w:tc>
          <w:tcPr>
            <w:tcW w:type="dxa" w:w="2160"/>
          </w:tcPr>
          <w:p>
            <w:r>
              <w:t>5.00 MD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1,000,000</w:t>
            </w:r>
          </w:p>
        </w:tc>
      </w:tr>
      <w:tr>
        <w:tc>
          <w:tcPr>
            <w:tcW w:type="dxa" w:w="2160"/>
          </w:tcPr>
          <w:p>
            <w:r>
              <w:t>총계</w:t>
            </w:r>
          </w:p>
        </w:tc>
        <w:tc>
          <w:tcPr>
            <w:tcW w:type="dxa" w:w="2160"/>
          </w:tcPr>
          <w:p>
            <w:r>
              <w:t>20.00 MD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4,000,000 원</w:t>
            </w:r>
          </w:p>
        </w:tc>
      </w:tr>
    </w:tbl>
    <w:p/>
    <w:p>
      <w:pPr>
        <w:pStyle w:val="Heading2"/>
      </w:pPr>
      <w:r>
        <w:t>4. 수행 일정 계획 (약 4주 기간, 20영업일)</w:t>
      </w:r>
    </w:p>
    <w:p>
      <w:r>
        <w:t>1. 기반/인프라 및 안정성 (1~3일차): 방화벽 세팅 및 안정성 연동 (3 MD)</w:t>
      </w:r>
    </w:p>
    <w:p>
      <w:r>
        <w:t>2. Master 코어 파트 (4~12일차): 레거시 파편화 분리 및 큐 도입 (9 MD)</w:t>
      </w:r>
    </w:p>
    <w:p>
      <w:r>
        <w:t>3. Worker 파트 구축 (13~15일차): 컨테이너 제어/클린업 모듈 개발 (3 MD)</w:t>
      </w:r>
    </w:p>
    <w:p>
      <w:r>
        <w:t>4. 집중 QA/테스트 (16~20일차): 통합 연동 검증 및 부하 안정성 확보 (5 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