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Building &amp; Public Works - Sectorial Cyber Risk Intelligence</w:t>
      </w:r>
    </w:p>
    <w:p>
      <w:pPr>
        <w:spacing w:after="140"/>
      </w:pPr>
      <w:r>
        <w:rPr>
          <w:b/>
          <w:bCs/>
        </w:rPr>
        <w:t xml:space="preserve">Report date:</w:t>
      </w:r>
      <w:r>
        <w:t xml:space="preserve"> 14 October 2026. </w:t>
      </w:r>
      <w:r>
        <w:rPr>
          <w:b/>
          <w:bCs/>
        </w:rPr>
        <w:t xml:space="preserve">Reporting period:</w:t>
      </w:r>
      <w:r>
        <w:t xml:space="preserve"> 1 September 2025 to 14 October 2026. </w:t>
      </w:r>
      <w:r>
        <w:rPr>
          <w:b/>
          <w:bCs/>
        </w:rPr>
        <w:t xml:space="preserve">Evidence cut-off:</w:t>
      </w:r>
      <w:r>
        <w:t xml:space="preserve"> 14 October 2026. </w:t>
      </w:r>
      <w:r>
        <w:rPr>
          <w:b/>
          <w:bCs/>
        </w:rPr>
        <w:t xml:space="preserve">Rolling evidence horizon:</w:t>
      </w:r>
      <w:r>
        <w:t xml:space="preserve"> 18 months for patterns and public loss cases.</w:t>
      </w:r>
    </w:p>
    <w:p>
      <w:pPr>
        <w:spacing w:after="140"/>
      </w:pPr>
      <w:r>
        <w:rPr>
          <w:b/>
          <w:bCs/>
        </w:rPr>
        <w:t xml:space="preserve">Geography:</w:t>
      </w:r>
      <w:r>
        <w:t xml:space="preserve"> Global, with primary focus on the European Union (EU), European Economic Area (EEA) and United Kingdom (UK); North American and Asian evidence used for comparison. </w:t>
      </w:r>
      <w:r>
        <w:rPr>
          <w:b/>
          <w:bCs/>
        </w:rPr>
        <w:t xml:space="preserve">Audience:</w:t>
      </w:r>
      <w:r>
        <w:t xml:space="preserve"> First Line of Defence (1LoD) operational management and Risk Committee. </w:t>
      </w:r>
      <w:r>
        <w:rPr>
          <w:b/>
          <w:bCs/>
        </w:rPr>
        <w:t xml:space="preserve">Boundary:</w:t>
      </w:r>
      <w:r>
        <w:t xml:space="preserve"> public external data only; no internal, client or bank-specific information is used or implied. </w:t>
      </w:r>
      <w:r>
        <w:rPr>
          <w:b/>
          <w:bCs/>
        </w:rPr>
        <w:t xml:space="preserve">Edition:</w:t>
      </w:r>
      <w:r>
        <w:t xml:space="preserve"> baseline edition; no prior publication exists, so changes are described against the period rather than against an earlier report.</w:t>
      </w:r>
    </w:p>
    <w:p>
      <w:pPr>
        <w:spacing w:after="140"/>
      </w:pPr>
      <w:r>
        <w:rPr>
          <w:b/>
          <w:bCs/>
        </w:rPr>
        <w:t xml:space="preserve">Evidence labels used throughout:</w:t>
      </w:r>
      <w:r>
        <w:t xml:space="preserve"> Observed (external fact from a named source), Benchmark (sector statistic with stated population), Proxy (indirect or derived measure), Judgement (analytic judgement by this report), Assumption (scenario assumption), Action (management recommendation). Each statement is preceded by its source reference in the form [Source/Title][n]; full details are in the References section.</w:t>
      </w:r>
    </w:p>
    <w:p>
      <w:pPr>
        <w:pStyle w:val="Heading1"/>
      </w:pPr>
      <w:r>
        <w:t xml:space="preserve">Sector Exposure &amp; Executive Risk Outlook</w:t>
      </w:r>
    </w:p>
    <w:p>
      <w:pPr>
        <w:pStyle w:val="Heading2"/>
      </w:pPr>
      <w:r>
        <w:t xml:space="preserve">Bottom line</w:t>
      </w:r>
    </w:p>
    <w:p>
      <w:pPr>
        <w:spacing w:after="140"/>
      </w:pPr>
      <w:r>
        <w:t xml:space="preserve">[RBKC - Incident summary and recovery plans][5] [IMY - Sanction against Miljödata][10] [Procore - FY2025 Form 10-K][27] [Dragos - Industrial ransomware Q2 2026][20] The best-documented Building &amp; Public Works (B&amp;PW) cyber propagation pathway in the period runs through the shared digital layers the sector depends on: public-owner shared services, sector software platforms, cloud hosting, materials suppliers and payment chains; leak-site data nevertheless show many more construction ransomware claims than public disclosures, so direct attacks on firms remain numerous. [RBKC - Cyber attack recovery update March 2026][6] [RBKC - Cyber security attack FAQs][8] The best-documented disruption hit a public-sector project owner: planning was unavailable for about 15 weeks, revenues and benefits for about six months, and new invoice processing was constrained (existing invoices were paid through a controlled run; the length of the payment constraint was not disclosed). [Femern A/S - FLC cyber incident notice][1] [Copenhagen Post - Fehmarn Belt contractor incident][2] In October 2026 a cyber incident at the main contractor of the Fehmarnbelt tunnel indicated, on media-reported and unconfirmed effects, that the same pathway can reach marine and site operations. [SANKO TECHNO - TSE ransomware disclosure][15] Public financial disclosure remains thin: no contractor or supplier in the period has published a quantified cyber cost, delay or contractual effect. For a bank, the relevance is conditional and indirect - through contractor working capital, owner payment delays, supplier insolvency, guarantees and emergency lending - not through any asserted exposure of a specific institution.</w:t>
      </w:r>
    </w:p>
    <w:p>
      <w:pPr>
        <w:pStyle w:val="Heading2"/>
      </w:pPr>
      <w:r>
        <w:t xml:space="preserve">Principal judgements</w:t>
      </w:r>
    </w:p>
    <w:p>
      <w:pPr>
        <w:spacing w:after="140"/>
      </w:pPr>
      <w:r>
        <w:rPr>
          <w:b/>
          <w:bCs/>
        </w:rPr>
        <w:t xml:space="preserve">1. Shared digital layers are the best-documented propagation pathway (Judgement; confidence medium).</w:t>
      </w:r>
      <w:r>
        <w:t xml:space="preserve"> [RBKC - Incident summary and recovery plans][5] [RBKC - Audit and Transparency Committee pack September 2026][7] [IMY - Sanction against Miljödata][10] [BleepingComputer - Miljödata fine][11] [Procore - FY2025 Form 10-K][27] The two most fully documented in-period disruptions propagated across many dependent organisations: a shared IT estate serving three London boroughs, and a software supplier used by a majority of Swedish municipalities (regulator) and, per secondary reporting, also regions, state agencies and private companies (Tier 3); at the same time one construction-management platform reports 17,850 customers in about 160 countries hosted on third-party cloud. </w:t>
      </w:r>
      <w:r>
        <w:rPr>
          <w:b/>
          <w:bCs/>
        </w:rPr>
        <w:t xml:space="preserve">Competing explanation:</w:t>
      </w:r>
      <w:r>
        <w:t xml:space="preserve"> public bodies must publish governance records while private contractors rarely do, so owner-side cases may be over-represented; leak-site data show many more construction ransomware claims than public disclosures. </w:t>
      </w:r>
      <w:r>
        <w:rPr>
          <w:b/>
          <w:bCs/>
        </w:rPr>
        <w:t xml:space="preserve">What would change this judgement:</w:t>
      </w:r>
      <w:r>
        <w:t xml:space="preserve"> disclosure of large contractor-level disruptions with quantified programme impact exceeding owner-side effects.</w:t>
      </w:r>
    </w:p>
    <w:p>
      <w:pPr>
        <w:spacing w:after="140"/>
      </w:pPr>
      <w:r>
        <w:rPr>
          <w:b/>
          <w:bCs/>
        </w:rPr>
        <w:t xml:space="preserve">2. Time-sensitive site operations turn IT outages into schedule loss (Judgement; confidence medium).</w:t>
      </w:r>
      <w:r>
        <w:t xml:space="preserve"> [QBE and Control Risks - From blueprints to breaches][18] [QBE - UK construction project delivery release][19] Insurer research reports that ransomware incidents in construction averaged 24 days of downtime in 2025 and that delays drive cost escalation, contractual disputes and subcontractor effects. [Femern A/S - FLC cyber incident notice][1] [Copenhagen Post - Fehmarn Belt contractor incident][2] The Fehmarnbelt owner confirmed the contractor incident, while media reported, without owner confirmation, that vessels stopped and digital access control failed. </w:t>
      </w:r>
      <w:r>
        <w:rPr>
          <w:b/>
          <w:bCs/>
        </w:rPr>
        <w:t xml:space="preserve">What would change this judgement:</w:t>
      </w:r>
      <w:r>
        <w:t xml:space="preserve"> evidence that contract float and manual workarounds routinely absorb outages without programme loss.</w:t>
      </w:r>
    </w:p>
    <w:p>
      <w:pPr>
        <w:spacing w:after="140"/>
      </w:pPr>
      <w:r>
        <w:rPr>
          <w:b/>
          <w:bCs/>
        </w:rPr>
        <w:t xml:space="preserve">3. Exposed public-works operational technology is an active pressure point (Judgement; confidence medium-low).</w:t>
      </w:r>
      <w:r>
        <w:t xml:space="preserve"> [Canadian Cyber Centre - Iranian threat bulletin][25] Following the US/Israel strikes of February 2026, a national authority judged Iranian cyber retaliation very likely and warned of opportunistic targeting of poorly secured infrastructure networks and internet-connected devices. [MNIT - Statewide response, 28 July 2026][12] [MNIT - Continued response, 30 July 2026][13] In July 2026 more than 30 Minnesota community water systems experienced malicious activity on programmable logic controllers (PLCs) and human-machine interfaces (HMIs); the state made no attribution. No baseline exists to show a rise, and the activity may reflect opportunistic or criminal scanning rather than state direction (competing explanation). Construction firms are more likely to be collateral or access-path victims than primary targets. </w:t>
      </w:r>
      <w:r>
        <w:rPr>
          <w:b/>
          <w:bCs/>
        </w:rPr>
        <w:t xml:space="preserve">What would change this judgement:</w:t>
      </w:r>
      <w:r>
        <w:t xml:space="preserve"> official attribution of the activity, or evidence that it is untargeted scanning only.</w:t>
      </w:r>
    </w:p>
    <w:p>
      <w:pPr>
        <w:spacing w:after="140"/>
      </w:pPr>
      <w:r>
        <w:rPr>
          <w:b/>
          <w:bCs/>
        </w:rPr>
        <w:t xml:space="preserve">4. Financial-system transmission is conditional and runs through liquidity (Judgement; confidence medium).</w:t>
      </w:r>
      <w:r>
        <w:t xml:space="preserve"> [Insolvency Service via The Gazette - July 2026 statistics][31] Construction recorded the highest number of company insolvencies in England and Wales in the 12 months to July 2026 (3,841 cases, 17% of cases with industry recorded); this is a count, not a rate, and is context for counterparty fragility rather than evidence of thin buffers. [UK Government - JLR loan guarantee][29] The UK Government's September 2025 guarantee of a commercial bank loan of up to GBP 1.5 billion to support a manufacturer's supply chain after a cyber stoppage shows how such shocks can reach bank lending. </w:t>
      </w:r>
      <w:r>
        <w:rPr>
          <w:b/>
          <w:bCs/>
        </w:rPr>
        <w:t xml:space="preserve">What would change this judgement:</w:t>
      </w:r>
      <w:r>
        <w:t xml:space="preserve"> evidence that large contractors' liquidity buffers routinely absorb cyber-driven delays.</w:t>
      </w:r>
    </w:p>
    <w:p>
      <w:pPr>
        <w:spacing w:after="140"/>
      </w:pPr>
      <w:r>
        <w:rPr>
          <w:b/>
          <w:bCs/>
        </w:rPr>
        <w:t xml:space="preserve">5. The regulatory perimeter for construction is indirect but tightening (Judgement; confidence high).</w:t>
      </w:r>
      <w:r>
        <w:t xml:space="preserve"> [EUR-Lex - NIS2 Directive][32] [EUR-Lex - CER Directive][34] [legislation.gov.uk - NIS Regulations 2018][41] Construction is not a listed sector under the EU Network and Information Security Directive 2 (NIS2), the EU CER Directive (Directive (EU) 2022/2557 on entity resilience) or the UK NIS Regulations 2018; obligations reach contractors through owners' supply-chain duties, procurement terms, product rules and data-protection law. [European Commission - CRA reporting][36] [Council of the EU - Public Procurement Act proposal][38] Two in-period changes add pressure: Cyber Resilience Act (CRA) manufacturer reporting from 11 September 2026, and the 9 September 2026 proposal for an EU Public Procurement Act with cybersecurity and resilience provisions. </w:t>
      </w:r>
      <w:r>
        <w:rPr>
          <w:b/>
          <w:bCs/>
        </w:rPr>
        <w:t xml:space="preserve">What would change this judgement:</w:t>
      </w:r>
      <w:r>
        <w:t xml:space="preserve"> national NIS2 measures that designate construction entities directly.</w:t>
      </w:r>
    </w:p>
    <w:p>
      <w:pPr>
        <w:pStyle w:val="Heading2"/>
      </w:pPr>
      <w:r>
        <w:t xml:space="preserve">What changed in the period</w:t>
      </w:r>
    </w:p>
    <w:p>
      <w:pPr>
        <w:pStyle w:val="ListParagraph"/>
        <w:numPr>
          <w:ilvl w:val="0"/>
          <w:numId w:val="2"/>
        </w:numPr>
        <w:spacing w:after="80"/>
      </w:pPr>
      <w:r>
        <w:t xml:space="preserve">[Femern A/S - FLC cyber incident notice][1] 13 October 2026: the Fehmarnbelt tunnel owner confirmed a cyber incident at its main contractor, Femern Link Contractors (FLC) (Observed).</w:t>
      </w:r>
    </w:p>
    <w:p>
      <w:pPr>
        <w:pStyle w:val="ListParagraph"/>
        <w:numPr>
          <w:ilvl w:val="0"/>
          <w:numId w:val="2"/>
        </w:numPr>
        <w:spacing w:after="80"/>
      </w:pPr>
      <w:r>
        <w:t xml:space="preserve">[RBKC - Incident summary and recovery plans][5] [RBKC - Audit and Transparency Committee pack September 2026][7] 24 November 2025 to September 2026: the Royal Borough of Kensington and Chelsea (RBKC) attack, recovery and auditor findings were published in stages (Observed).</w:t>
      </w:r>
    </w:p>
    <w:p>
      <w:pPr>
        <w:pStyle w:val="ListParagraph"/>
        <w:numPr>
          <w:ilvl w:val="0"/>
          <w:numId w:val="2"/>
        </w:numPr>
        <w:spacing w:after="80"/>
      </w:pPr>
      <w:r>
        <w:t xml:space="preserve">[IMY - Sanction against Miljödata][10] 22 September 2026: Sweden's data protection authority (IMY) fined a public-sector software supplier and opened reviews of customers (Observed).</w:t>
      </w:r>
    </w:p>
    <w:p>
      <w:pPr>
        <w:pStyle w:val="ListParagraph"/>
        <w:numPr>
          <w:ilvl w:val="0"/>
          <w:numId w:val="2"/>
        </w:numPr>
        <w:spacing w:after="80"/>
      </w:pPr>
      <w:r>
        <w:t xml:space="preserve">[MNIT - Statewide response, 28 July 2026][12] 26-27 July 2026: malicious activity at OT in more than 30 Minnesota community water systems (Observed).</w:t>
      </w:r>
    </w:p>
    <w:p>
      <w:pPr>
        <w:pStyle w:val="ListParagraph"/>
        <w:numPr>
          <w:ilvl w:val="0"/>
          <w:numId w:val="2"/>
        </w:numPr>
        <w:spacing w:after="80"/>
      </w:pPr>
      <w:r>
        <w:t xml:space="preserve">[Dragos - Industrial ransomware Q2 2026][20] Q2 2026: 176 of 1,140 industrial ransomware claims concerned construction, which Dragos reports as a manufacturing subsector (Benchmark).</w:t>
      </w:r>
    </w:p>
    <w:p>
      <w:pPr>
        <w:pStyle w:val="ListParagraph"/>
        <w:numPr>
          <w:ilvl w:val="0"/>
          <w:numId w:val="2"/>
        </w:numPr>
        <w:spacing w:after="80"/>
      </w:pPr>
      <w:r>
        <w:t xml:space="preserve">[European Commission - CRA reporting][36] 11 September 2026: CRA reporting obligations began for manufacturers (Observed).</w:t>
      </w:r>
    </w:p>
    <w:p>
      <w:pPr>
        <w:pStyle w:val="ListParagraph"/>
        <w:numPr>
          <w:ilvl w:val="0"/>
          <w:numId w:val="2"/>
        </w:numPr>
        <w:spacing w:after="80"/>
      </w:pPr>
      <w:r>
        <w:t xml:space="preserve">[European Commission - NIS2 CJEU referral][33] 8 July 2026: four Member States referred to the Court of Justice for incomplete NIS2 transposition (Observed).</w:t>
      </w:r>
    </w:p>
    <w:p>
      <w:pPr>
        <w:pStyle w:val="ListParagraph"/>
        <w:numPr>
          <w:ilvl w:val="0"/>
          <w:numId w:val="2"/>
        </w:numPr>
        <w:spacing w:after="80"/>
      </w:pPr>
      <w:r>
        <w:t xml:space="preserve">[UK Parliament - Cyber Security and Resilience Bill][39] October 2026: the UK Cyber Security and Resilience Bill remained at House of Lords report stage (Observed).</w:t>
      </w:r>
    </w:p>
    <w:p>
      <w:pPr>
        <w:pStyle w:val="Heading2"/>
      </w:pPr>
      <w:r>
        <w:t xml:space="preserve">Sector footprint and subsector coverage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92"/>
        <w:gridCol w:w="3389"/>
        <w:gridCol w:w="1816"/>
        <w:gridCol w:w="2209"/>
      </w:tblGrid>
      <w:tr>
        <w:trPr>
          <w:cantSplit/>
          <w:tblHeader/>
        </w:trPr>
        <w:tc>
          <w:tcPr>
            <w:tcW w:type="dxa" w:w="2492"/>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Subsector</w:t>
            </w:r>
          </w:p>
        </w:tc>
        <w:tc>
          <w:tcPr>
            <w:tcW w:type="dxa" w:w="3389"/>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In-period public evidence</w:t>
            </w:r>
          </w:p>
        </w:tc>
        <w:tc>
          <w:tcPr>
            <w:tcW w:type="dxa" w:w="1816"/>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Evidence strength</w:t>
            </w:r>
          </w:p>
        </w:tc>
        <w:tc>
          <w:tcPr>
            <w:tcW w:type="dxa" w:w="2209"/>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Main gap</w:t>
            </w:r>
          </w:p>
        </w:tc>
      </w:tr>
      <w:tr>
        <w:trPr>
          <w:cantSplit/>
          <w:tblHeader w:val="false"/>
        </w:trPr>
        <w:tc>
          <w:tcPr>
            <w:tcW w:type="dxa" w:w="249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Construction companies and infrastructure construction</w:t>
            </w:r>
          </w:p>
        </w:tc>
        <w:tc>
          <w:tcPr>
            <w:tcW w:type="dxa" w:w="338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Fehmarnbelt contractor incident (October 2026); leak-site benchmarks</w:t>
            </w:r>
          </w:p>
        </w:tc>
        <w:tc>
          <w:tcPr>
            <w:tcW w:type="dxa" w:w="181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Owner statement Tier 1; effects Tier 3</w:t>
            </w:r>
          </w:p>
        </w:tc>
        <w:tc>
          <w:tcPr>
            <w:tcW w:type="dxa" w:w="220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No cause, duration or cost disclosed</w:t>
            </w:r>
          </w:p>
        </w:tc>
      </w:tr>
      <w:tr>
        <w:trPr>
          <w:cantSplit/>
          <w:tblHeader w:val="false"/>
        </w:trPr>
        <w:tc>
          <w:tcPr>
            <w:tcW w:type="dxa" w:w="249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Civil engineering and engineering or project-management firms</w:t>
            </w:r>
          </w:p>
        </w:tc>
        <w:tc>
          <w:tcPr>
            <w:tcW w:type="dxa" w:w="338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Leak-site counts include engineering services</w:t>
            </w:r>
          </w:p>
        </w:tc>
        <w:tc>
          <w:tcPr>
            <w:tcW w:type="dxa" w:w="181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Tier 2 benchmarks</w:t>
            </w:r>
          </w:p>
        </w:tc>
        <w:tc>
          <w:tcPr>
            <w:tcW w:type="dxa" w:w="220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No named in-period case with primary disclosure</w:t>
            </w:r>
          </w:p>
        </w:tc>
      </w:tr>
      <w:tr>
        <w:trPr>
          <w:cantSplit/>
          <w:tblHeader w:val="false"/>
        </w:trPr>
        <w:tc>
          <w:tcPr>
            <w:tcW w:type="dxa" w:w="249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Public works contractors and operators</w:t>
            </w:r>
          </w:p>
        </w:tc>
        <w:tc>
          <w:tcPr>
            <w:tcW w:type="dxa" w:w="338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Minnesota water OT malicious activity (July 2026); Bremanger dam (contextual)</w:t>
            </w:r>
          </w:p>
        </w:tc>
        <w:tc>
          <w:tcPr>
            <w:tcW w:type="dxa" w:w="181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Tier 1 state and regulator notices</w:t>
            </w:r>
          </w:p>
        </w:tc>
        <w:tc>
          <w:tcPr>
            <w:tcW w:type="dxa" w:w="220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Attribution preliminary or contextual</w:t>
            </w:r>
          </w:p>
        </w:tc>
      </w:tr>
      <w:tr>
        <w:trPr>
          <w:cantSplit/>
          <w:tblHeader w:val="false"/>
        </w:trPr>
        <w:tc>
          <w:tcPr>
            <w:tcW w:type="dxa" w:w="249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Building materials and equipment</w:t>
            </w:r>
          </w:p>
        </w:tc>
        <w:tc>
          <w:tcPr>
            <w:tcW w:type="dxa" w:w="338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SANKO TECHNO subsidiary ransomware (August 2026); Dragos supplier statement</w:t>
            </w:r>
          </w:p>
        </w:tc>
        <w:tc>
          <w:tcPr>
            <w:tcW w:type="dxa" w:w="181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Tier 1 disclosure; Tier 2 research</w:t>
            </w:r>
          </w:p>
        </w:tc>
        <w:tc>
          <w:tcPr>
            <w:tcW w:type="dxa" w:w="220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No financial outcome</w:t>
            </w:r>
          </w:p>
        </w:tc>
      </w:tr>
      <w:tr>
        <w:trPr>
          <w:cantSplit/>
          <w:tblHeader w:val="false"/>
        </w:trPr>
        <w:tc>
          <w:tcPr>
            <w:tcW w:type="dxa" w:w="249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Construction technology platforms</w:t>
            </w:r>
          </w:p>
        </w:tc>
        <w:tc>
          <w:tcPr>
            <w:tcW w:type="dxa" w:w="338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Procore 10-K concentration and cloud reliance</w:t>
            </w:r>
          </w:p>
        </w:tc>
        <w:tc>
          <w:tcPr>
            <w:tcW w:type="dxa" w:w="181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Tier 1 filing</w:t>
            </w:r>
          </w:p>
        </w:tc>
        <w:tc>
          <w:tcPr>
            <w:tcW w:type="dxa" w:w="220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No in-period platform outage found</w:t>
            </w:r>
          </w:p>
        </w:tc>
      </w:tr>
      <w:tr>
        <w:trPr>
          <w:cantSplit/>
          <w:tblHeader w:val="false"/>
        </w:trPr>
        <w:tc>
          <w:tcPr>
            <w:tcW w:type="dxa" w:w="249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Building-management and building-automation systems</w:t>
            </w:r>
          </w:p>
        </w:tc>
        <w:tc>
          <w:tcPr>
            <w:tcW w:type="dxa" w:w="338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CRA scope; OT control lessons</w:t>
            </w:r>
          </w:p>
        </w:tc>
        <w:tc>
          <w:tcPr>
            <w:tcW w:type="dxa" w:w="181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Tier 1 legal and guidance</w:t>
            </w:r>
          </w:p>
        </w:tc>
        <w:tc>
          <w:tcPr>
            <w:tcW w:type="dxa" w:w="220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No in-period Tier 1 or Tier 2 BMS incident identified</w:t>
            </w:r>
          </w:p>
        </w:tc>
      </w:tr>
      <w:tr>
        <w:trPr>
          <w:cantSplit/>
          <w:tblHeader w:val="false"/>
        </w:trPr>
        <w:tc>
          <w:tcPr>
            <w:tcW w:type="dxa" w:w="249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Public-sector project owners</w:t>
            </w:r>
          </w:p>
        </w:tc>
        <w:tc>
          <w:tcPr>
            <w:tcW w:type="dxa" w:w="338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RBKC shared-IT attack; Miljödata supplier compromise</w:t>
            </w:r>
          </w:p>
        </w:tc>
        <w:tc>
          <w:tcPr>
            <w:tcW w:type="dxa" w:w="181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Tier 1 council, auditor and regulator records</w:t>
            </w:r>
          </w:p>
        </w:tc>
        <w:tc>
          <w:tcPr>
            <w:tcW w:type="dxa" w:w="220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Contractor-side effects not measured</w:t>
            </w:r>
          </w:p>
        </w:tc>
      </w:tr>
    </w:tbl>
    <w:p>
      <w:pPr>
        <w:spacing w:after="120"/>
      </w:pPr>
    </w:p>
    <w:p>
      <w:pPr>
        <w:spacing w:after="140"/>
      </w:pPr>
      <w:r>
        <w:t xml:space="preserve">[Dragos - Industrial ransomware Q2 2026][20] [Black Kite - 2026 Ransomware Report][21] Interpretation: leak-site research places construction among the most frequently claimed victim groups (176 of 1,140 industrial claims in Q2 2026; 541 of 7,551 claimed victims between April 2025 and March 2026, ranked third). These are visibility benchmarks, not sector attack rates. A Tier 1 measure of the sector's share of EU output and employment could not be retrieved in this run and is recorded as a limitation.</w:t>
      </w:r>
    </w:p>
    <w:p>
      <w:pPr>
        <w:pStyle w:val="Heading2"/>
      </w:pPr>
      <w:r>
        <w:t xml:space="preserve">Financial-system relevance</w:t>
      </w:r>
    </w:p>
    <w:p>
      <w:pPr>
        <w:spacing w:after="140"/>
      </w:pPr>
      <w:r>
        <w:t xml:space="preserve">The sector matters to a bank through generic, evidence-supported channels: (a) contractor and subcontractor working capital, which depends on owner certification and payment processes that the RBKC case shows can be constrained by an owner outage (duration of the payment constraint not disclosed); (b) supplier fragility, for which construction's leading insolvency count (a count, not a rate) is context; (c) payment-chain fraud, which law enforcement links specifically to construction invoicing; and (d) emergency liquidity support for supply chains, as in the JLR guarantee precedent. These are conditional transmission channels and not statements about any institution's exposure, losses, capital or Risk Appetite Framework (RAF) position.</w:t>
      </w:r>
    </w:p>
    <w:p>
      <w:pPr>
        <w:pStyle w:val="Heading1"/>
        <w:pageBreakBefore/>
      </w:pPr>
      <w:r>
        <w:t xml:space="preserve">Key Threats &amp; Top 5 Cyber Attacks</w:t>
      </w:r>
    </w:p>
    <w:p>
      <w:pPr>
        <w:pStyle w:val="Heading2"/>
      </w:pPr>
      <w:r>
        <w:t xml:space="preserve">Selection criteria</w:t>
      </w:r>
    </w:p>
    <w:p>
      <w:pPr>
        <w:spacing w:after="140"/>
      </w:pPr>
      <w:r>
        <w:t xml:space="preserve">Named incidents qualify only if (1) the event or its regulatory outcome falls inside 1 September 2025 to 14 October 2026; (2) existence is supported by a Tier 1 or Tier 2 source; (3) the affected organisation belongs to a B&amp;PW subsector in scope; and (4) the case adds a distinct operational lesson. Leak-site victim claims without primary corroboration are excluded. Five incidents meet the standard. Threat pathways are shown separately and are patterns, not attacks.</w:t>
      </w:r>
    </w:p>
    <w:p>
      <w:pPr>
        <w:pStyle w:val="Heading2"/>
      </w:pPr>
      <w:r>
        <w:t xml:space="preserve">Threat pathways (patterns)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944"/>
        <w:gridCol w:w="2944"/>
        <w:gridCol w:w="2113"/>
      </w:tblGrid>
      <w:tr>
        <w:trPr>
          <w:cantSplit/>
          <w:tblHeader/>
        </w:trPr>
        <w:tc>
          <w:tcPr>
            <w:tcW w:type="dxa" w:w="1905"/>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Pathway (pattern)</w:t>
            </w:r>
          </w:p>
        </w:tc>
        <w:tc>
          <w:tcPr>
            <w:tcW w:type="dxa" w:w="2944"/>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Operational vulnerability</w:t>
            </w:r>
          </w:p>
        </w:tc>
        <w:tc>
          <w:tcPr>
            <w:tcW w:type="dxa" w:w="2944"/>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Systemic or concentration translation</w:t>
            </w:r>
          </w:p>
        </w:tc>
        <w:tc>
          <w:tcPr>
            <w:tcW w:type="dxa" w:w="2113"/>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Evidence base</w:t>
            </w:r>
          </w:p>
        </w:tc>
      </w:tr>
      <w:tr>
        <w:trPr>
          <w:cantSplit/>
          <w:tblHeader w:val="false"/>
        </w:trPr>
        <w:tc>
          <w:tcPr>
            <w:tcW w:type="dxa" w:w="190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P1 Ransomware and data extortion</w:t>
            </w:r>
          </w:p>
        </w:tc>
        <w:tc>
          <w:tcPr>
            <w:tcW w:type="dxa" w:w="294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Encryption and exfiltration halt ERP, scheduling, site access and document control</w:t>
            </w:r>
          </w:p>
        </w:tc>
        <w:tc>
          <w:tcPr>
            <w:tcW w:type="dxa" w:w="294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Many contractors and materials suppliers share a small number of criminal groups and access methods</w:t>
            </w:r>
          </w:p>
        </w:tc>
        <w:tc>
          <w:tcPr>
            <w:tcW w:type="dxa" w:w="211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Dragos Q2 2026; Black Kite 2026; QBE 2026</w:t>
            </w:r>
          </w:p>
        </w:tc>
      </w:tr>
      <w:tr>
        <w:trPr>
          <w:cantSplit/>
          <w:tblHeader w:val="false"/>
        </w:trPr>
        <w:tc>
          <w:tcPr>
            <w:tcW w:type="dxa" w:w="190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P2 Identity and edge-access compromise</w:t>
            </w:r>
          </w:p>
        </w:tc>
        <w:tc>
          <w:tcPr>
            <w:tcW w:type="dxa" w:w="294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Phishing, VPNs without multi-factor authentication (MFA), unpatched edge and backup servers</w:t>
            </w:r>
          </w:p>
        </w:tc>
        <w:tc>
          <w:tcPr>
            <w:tcW w:type="dxa" w:w="294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One compromised identity provider or remote-access path opens many projects and joint ventures</w:t>
            </w:r>
          </w:p>
        </w:tc>
        <w:tc>
          <w:tcPr>
            <w:tcW w:type="dxa" w:w="211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ENISA 2025 (phishing about 60%, exploitation 21.3%); Akira advisory 2025</w:t>
            </w:r>
          </w:p>
        </w:tc>
      </w:tr>
      <w:tr>
        <w:trPr>
          <w:cantSplit/>
          <w:tblHeader w:val="false"/>
        </w:trPr>
        <w:tc>
          <w:tcPr>
            <w:tcW w:type="dxa" w:w="190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P3 Shared IT and software-as-a-service (SaaS) dependency</w:t>
            </w:r>
          </w:p>
        </w:tc>
        <w:tc>
          <w:tcPr>
            <w:tcW w:type="dxa" w:w="294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Owner shared services and sector platforms are single points of failure</w:t>
            </w:r>
          </w:p>
        </w:tc>
        <w:tc>
          <w:tcPr>
            <w:tcW w:type="dxa" w:w="294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One supplier incident propagates to many owners, contractors and data subjects</w:t>
            </w:r>
          </w:p>
        </w:tc>
        <w:tc>
          <w:tcPr>
            <w:tcW w:type="dxa" w:w="211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RBKC 2025-26; Miljödata 2025-26; Procore 10-K</w:t>
            </w:r>
          </w:p>
        </w:tc>
      </w:tr>
      <w:tr>
        <w:trPr>
          <w:cantSplit/>
          <w:tblHeader w:val="false"/>
        </w:trPr>
        <w:tc>
          <w:tcPr>
            <w:tcW w:type="dxa" w:w="190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P4 Operational technology (OT), connected field and building systems</w:t>
            </w:r>
          </w:p>
        </w:tc>
        <w:tc>
          <w:tcPr>
            <w:tcW w:type="dxa" w:w="294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Internet-exposed PLCs and HMIs, weak passwords, poor IT/OT segregation</w:t>
            </w:r>
          </w:p>
        </w:tc>
        <w:tc>
          <w:tcPr>
            <w:tcW w:type="dxa" w:w="294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State-aligned and hacktivist actors can reach public-works assets across many small operators</w:t>
            </w:r>
          </w:p>
        </w:tc>
        <w:tc>
          <w:tcPr>
            <w:tcW w:type="dxa" w:w="211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Minnesota 2026; Bremanger 2025 (contextual); QBE 81% segmentation finding</w:t>
            </w:r>
          </w:p>
        </w:tc>
      </w:tr>
      <w:tr>
        <w:trPr>
          <w:cantSplit/>
          <w:tblHeader w:val="false"/>
        </w:trPr>
        <w:tc>
          <w:tcPr>
            <w:tcW w:type="dxa" w:w="190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P5 Payment-chain fraud</w:t>
            </w:r>
          </w:p>
        </w:tc>
        <w:tc>
          <w:tcPr>
            <w:tcW w:type="dxa" w:w="294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Supplier email compromise and bank-detail replacement on invoices</w:t>
            </w:r>
          </w:p>
        </w:tc>
        <w:tc>
          <w:tcPr>
            <w:tcW w:type="dxa" w:w="294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High-value, frequent stage payments create repeatable fraud opportunity across supply chains</w:t>
            </w:r>
          </w:p>
        </w:tc>
        <w:tc>
          <w:tcPr>
            <w:tcW w:type="dxa" w:w="211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AFP 2025 alert</w:t>
            </w:r>
          </w:p>
        </w:tc>
      </w:tr>
    </w:tbl>
    <w:p>
      <w:pPr>
        <w:spacing w:after="120"/>
      </w:pPr>
    </w:p>
    <w:p>
      <w:pPr>
        <w:spacing w:after="140"/>
      </w:pPr>
      <w:r>
        <w:t xml:space="preserve">[ENISA - Threat Landscape 2025][23] Across 4,875 EU incidents (July 2024 to June 2025), phishing accounted for about 60% of observed initial access and vulnerability exploitation for 21.3%; OT threats were 18.2% and supply-chain threats 10.6% of threat categories (Observed). [CISA and partners - Akira advisory update][22] The November 2025 Akira advisory update reports about USD 244.17 million in proceeds, entry through VPNs without MFA, SonicWall and Cisco vulnerabilities and unpatched Veeam backup servers, and exfiltration in just over two hours in some cases; construction is not among the sectors it names (Observed). [Dragos - Industrial ransomware Q2 2026][20] Dragos reports that suppliers of building materials, construction services and equipment were repeatedly targeted because of ERP reliance, distributed locations and tight project timelines (Observed). [QBE and Control Risks - From blueprints to breaches][18] QBE and Control Risks report that inadequate IT/OT segmentation contributed to 81% of OT incident cases in 2025 (Dragos data) and that ransomware groups affected 526 construction organisations in 2025 (Benchmark). [AFP - Construction BEC alert][26] The Australian Federal Police (AFP) warned that criminals target construction firms for business email compromise (BEC) because of high-value, frequent transactions, replacing bank details on supplier invoices (Observed).</w:t>
      </w:r>
    </w:p>
    <w:p>
      <w:pPr>
        <w:pStyle w:val="Heading2"/>
      </w:pPr>
      <w:r>
        <w:t xml:space="preserve">Top 5 named incidents in the period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15"/>
        <w:gridCol w:w="1015"/>
        <w:gridCol w:w="1015"/>
        <w:gridCol w:w="1121"/>
        <w:gridCol w:w="1595"/>
        <w:gridCol w:w="1740"/>
        <w:gridCol w:w="1015"/>
        <w:gridCol w:w="1390"/>
      </w:tblGrid>
      <w:tr>
        <w:trPr>
          <w:cantSplit/>
          <w:tblHeader/>
        </w:trPr>
        <w:tc>
          <w:tcPr>
            <w:tcW w:type="dxa" w:w="1015"/>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5"/>
                <w:szCs w:val="15"/>
              </w:rPr>
              <w:t xml:space="preserve">#</w:t>
            </w:r>
          </w:p>
        </w:tc>
        <w:tc>
          <w:tcPr>
            <w:tcW w:type="dxa" w:w="1015"/>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5"/>
                <w:szCs w:val="15"/>
              </w:rPr>
              <w:t xml:space="preserve">Incident</w:t>
            </w:r>
          </w:p>
        </w:tc>
        <w:tc>
          <w:tcPr>
            <w:tcW w:type="dxa" w:w="1015"/>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5"/>
                <w:szCs w:val="15"/>
              </w:rPr>
              <w:t xml:space="preserve">Subsector</w:t>
            </w:r>
          </w:p>
        </w:tc>
        <w:tc>
          <w:tcPr>
            <w:tcW w:type="dxa" w:w="1121"/>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5"/>
                <w:szCs w:val="15"/>
              </w:rPr>
              <w:t xml:space="preserve">Geography and period</w:t>
            </w:r>
          </w:p>
        </w:tc>
        <w:tc>
          <w:tcPr>
            <w:tcW w:type="dxa" w:w="1595"/>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5"/>
                <w:szCs w:val="15"/>
              </w:rPr>
              <w:t xml:space="preserve">Operational vulnerability</w:t>
            </w:r>
          </w:p>
        </w:tc>
        <w:tc>
          <w:tcPr>
            <w:tcW w:type="dxa" w:w="1740"/>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5"/>
                <w:szCs w:val="15"/>
              </w:rPr>
              <w:t xml:space="preserve">Consequence</w:t>
            </w:r>
          </w:p>
        </w:tc>
        <w:tc>
          <w:tcPr>
            <w:tcW w:type="dxa" w:w="1015"/>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5"/>
                <w:szCs w:val="15"/>
              </w:rPr>
              <w:t xml:space="preserve">Evidence strength</w:t>
            </w:r>
          </w:p>
        </w:tc>
        <w:tc>
          <w:tcPr>
            <w:tcW w:type="dxa" w:w="1390"/>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5"/>
                <w:szCs w:val="15"/>
              </w:rPr>
              <w:t xml:space="preserve">Sector relevance</w:t>
            </w:r>
          </w:p>
        </w:tc>
      </w:tr>
      <w:tr>
        <w:trPr>
          <w:cantSplit/>
          <w:tblHeader w:val="false"/>
        </w:trPr>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1</w:t>
            </w:r>
          </w:p>
        </w:tc>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Femern Link Contractors cyber incident</w:t>
            </w:r>
          </w:p>
        </w:tc>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Infrastructure construction (contractor joint venture)</w:t>
            </w:r>
          </w:p>
        </w:tc>
        <w:tc>
          <w:tcPr>
            <w:tcW w:type="dxa" w:w="112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Denmark and Germany; from 12 October 2026</w:t>
            </w:r>
          </w:p>
        </w:tc>
        <w:tc>
          <w:tcPr>
            <w:tcW w:type="dxa" w:w="159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Contractor IT and access systems supporting marine and site works</w:t>
            </w:r>
          </w:p>
        </w:tc>
        <w:tc>
          <w:tcPr>
            <w:tcW w:type="dxa" w:w="174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Owner confirmed incident; media report network shutdown, access control loss and idle vessels</w:t>
            </w:r>
          </w:p>
        </w:tc>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Tier 1 owner statement; effects Tier 3 only</w:t>
            </w:r>
          </w:p>
        </w:tc>
        <w:tc>
          <w:tcPr>
            <w:tcW w:type="dxa" w:w="139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Highest: flagship cross-border infrastructure programme</w:t>
            </w:r>
          </w:p>
        </w:tc>
      </w:tr>
      <w:tr>
        <w:trPr>
          <w:cantSplit/>
          <w:tblHeader w:val="false"/>
        </w:trPr>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2</w:t>
            </w:r>
          </w:p>
        </w:tc>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RBKC shared-IT attack</w:t>
            </w:r>
          </w:p>
        </w:tc>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Public-sector project owner</w:t>
            </w:r>
          </w:p>
        </w:tc>
        <w:tc>
          <w:tcPr>
            <w:tcW w:type="dxa" w:w="112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London, UK; 24 November 2025 to 2026</w:t>
            </w:r>
          </w:p>
        </w:tc>
        <w:tc>
          <w:tcPr>
            <w:tcW w:type="dxa" w:w="159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Shared IT estate for three boroughs; cause attributed by auditor to human error; fragmented legacy estate</w:t>
            </w:r>
          </w:p>
        </w:tc>
        <w:tc>
          <w:tcPr>
            <w:tcW w:type="dxa" w:w="174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Planning, repairs, finance and revenues disrupted; data exfiltrated; GBP 1.2 million cost in 2025/26</w:t>
            </w:r>
          </w:p>
        </w:tc>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Tier 1 council and auditor records</w:t>
            </w:r>
          </w:p>
        </w:tc>
        <w:tc>
          <w:tcPr>
            <w:tcW w:type="dxa" w:w="139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High: owner approvals and payments that contractors depend on</w:t>
            </w:r>
          </w:p>
        </w:tc>
      </w:tr>
      <w:tr>
        <w:trPr>
          <w:cantSplit/>
          <w:tblHeader w:val="false"/>
        </w:trPr>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3</w:t>
            </w:r>
          </w:p>
        </w:tc>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Miljödata supplier compromise and fine</w:t>
            </w:r>
          </w:p>
        </w:tc>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Software supplier to public owners and companies</w:t>
            </w:r>
          </w:p>
        </w:tc>
        <w:tc>
          <w:tcPr>
            <w:tcW w:type="dxa" w:w="112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Sweden; attack August 2025, fine 22 September 2026</w:t>
            </w:r>
          </w:p>
        </w:tc>
        <w:tc>
          <w:tcPr>
            <w:tcW w:type="dxa" w:w="159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Insufficient software installation checks; no real-time intrusion monitoring</w:t>
            </w:r>
          </w:p>
        </w:tc>
        <w:tc>
          <w:tcPr>
            <w:tcW w:type="dxa" w:w="174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2.2 million people affected; SEK 1.8 million fine; customers under review</w:t>
            </w:r>
          </w:p>
        </w:tc>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Tier 1 regulator decision</w:t>
            </w:r>
          </w:p>
        </w:tc>
        <w:tc>
          <w:tcPr>
            <w:tcW w:type="dxa" w:w="139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High: third-party concentration across public owners</w:t>
            </w:r>
          </w:p>
        </w:tc>
      </w:tr>
      <w:tr>
        <w:trPr>
          <w:cantSplit/>
          <w:tblHeader w:val="false"/>
        </w:trPr>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4</w:t>
            </w:r>
          </w:p>
        </w:tc>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Minnesota community water systems OT malicious activity</w:t>
            </w:r>
          </w:p>
        </w:tc>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Public-works operators</w:t>
            </w:r>
          </w:p>
        </w:tc>
        <w:tc>
          <w:tcPr>
            <w:tcW w:type="dxa" w:w="112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Minnesota, US; 26-27 July 2026</w:t>
            </w:r>
          </w:p>
        </w:tc>
        <w:tc>
          <w:tcPr>
            <w:tcW w:type="dxa" w:w="159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Remotely accessible PLCs and HMIs</w:t>
            </w:r>
          </w:p>
        </w:tc>
        <w:tc>
          <w:tcPr>
            <w:tcW w:type="dxa" w:w="174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Malicious activity at more than 30 systems; no drinking-water use changes requested</w:t>
            </w:r>
          </w:p>
        </w:tc>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Tier 1 state statements</w:t>
            </w:r>
          </w:p>
        </w:tc>
        <w:tc>
          <w:tcPr>
            <w:tcW w:type="dxa" w:w="139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Medium-high: public-works OT under geopolitical pressure</w:t>
            </w:r>
          </w:p>
        </w:tc>
      </w:tr>
      <w:tr>
        <w:trPr>
          <w:cantSplit/>
          <w:tblHeader w:val="false"/>
        </w:trPr>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5</w:t>
            </w:r>
          </w:p>
        </w:tc>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SANKO TECHNO subsidiary ransomware</w:t>
            </w:r>
          </w:p>
        </w:tc>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Building materials (anchors and fasteners)</w:t>
            </w:r>
          </w:p>
        </w:tc>
        <w:tc>
          <w:tcPr>
            <w:tcW w:type="dxa" w:w="112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Vietnam subsidiary of Japanese group; 25-28 August 2026</w:t>
            </w:r>
          </w:p>
        </w:tc>
        <w:tc>
          <w:tcPr>
            <w:tcW w:type="dxa" w:w="159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Subsidiary servers and PCs</w:t>
            </w:r>
          </w:p>
        </w:tc>
        <w:tc>
          <w:tcPr>
            <w:tcW w:type="dxa" w:w="174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Encryption contained by network isolation; financial impact under review</w:t>
            </w:r>
          </w:p>
        </w:tc>
        <w:tc>
          <w:tcPr>
            <w:tcW w:type="dxa" w:w="101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Tier 1 exchange disclosure</w:t>
            </w:r>
          </w:p>
        </w:tc>
        <w:tc>
          <w:tcPr>
            <w:tcW w:type="dxa" w:w="139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Medium: supplier tier of construction materials</w:t>
            </w:r>
          </w:p>
        </w:tc>
      </w:tr>
    </w:tbl>
    <w:p>
      <w:pPr>
        <w:spacing w:after="120"/>
      </w:pPr>
    </w:p>
    <w:p>
      <w:pPr>
        <w:spacing w:after="140"/>
      </w:pPr>
      <w:r>
        <w:rPr>
          <w:b/>
          <w:bCs/>
        </w:rPr>
        <w:t xml:space="preserve">1. Femern Link Contractors (October 2026).</w:t>
      </w:r>
      <w:r>
        <w:t xml:space="preserve"> [Femern A/S - FLC cyber incident notice][1] On 13 October 2026 Femern A/S stated that FLC had informed it of a cyber incident and that it had no further information (Observed). [Copenhagen Post - Fehmarn Belt contractor incident][2] [MS Aktuell - Fehmarnbelt contractor incident][3] [Ingeniøren - Femern project hacker attack][4] Media reported that problems began overnight into Monday 12 October, that large parts of the network were shut down, that staff were told not to use computers, Wi-Fi or contractor email, that digital access control and time registration were unavailable and that several vessels stopped; the programme had already been reported in May 2026 as about two years late for non-cyber reasons (Observed, unconfirmed by owner). Interpretation: the existing delay must not be attributed to the incident, and no cost, cause or duration has been disclosed.</w:t>
      </w:r>
    </w:p>
    <w:p>
      <w:pPr>
        <w:spacing w:after="140"/>
      </w:pPr>
      <w:r>
        <w:rPr>
          <w:b/>
          <w:bCs/>
        </w:rPr>
        <w:t xml:space="preserve">2. RBKC shared-IT attack (November 2025).</w:t>
      </w:r>
      <w:r>
        <w:t xml:space="preserve"> [RBKC - Incident summary and recovery plans][5] [RBKC - Cyber security attack FAQs][8] RBKC detected unusual activity on 24 November 2025 in IT infrastructure shared with Westminster City Council and the London Borough of Hammersmith and Fulham; files were exfiltrated, the Information Commissioner's Office (ICO) was notified and the Metropolitan Police leads the investigation (Observed). Chapter 5 reconstructs this case in full.</w:t>
      </w:r>
    </w:p>
    <w:p>
      <w:pPr>
        <w:spacing w:after="140"/>
      </w:pPr>
      <w:r>
        <w:rPr>
          <w:b/>
          <w:bCs/>
        </w:rPr>
        <w:t xml:space="preserve">3. Miljödata (attack August 2025; fine September 2026).</w:t>
      </w:r>
      <w:r>
        <w:t xml:space="preserve"> [IMY - Sanction against Miljödata][10] [BleepingComputer - Miljödata fine][11] IMY fined Miljödata SEK 1.8 million under Article 32(1) of the General Data Protection Regulation (GDPR) for an attack affecting about 2.2 million people, citing insufficient checks when installing new software and no automatic real-time intrusion monitoring, and opened investigations into two municipalities and one region (Observed).</w:t>
      </w:r>
    </w:p>
    <w:p>
      <w:pPr>
        <w:spacing w:after="140"/>
      </w:pPr>
      <w:r>
        <w:rPr>
          <w:b/>
          <w:bCs/>
        </w:rPr>
        <w:t xml:space="preserve">4. Minnesota water systems (July 2026).</w:t>
      </w:r>
      <w:r>
        <w:t xml:space="preserve"> [MNIT - Statewide response, 28 July 2026][12] [MNIT - Continued response, 30 July 2026][13] Minnesota reported malicious activity at more than 30 community water systems, mostly involving remotely accessible PLCs and HMIs, stressed that impacted does not necessarily mean service disruption and made no attribution (Observed). [AP via KFYR - Minnesota attribution report][14] Media citing unnamed officials described a preliminary assessment pointing to Iran; one town restored its plant from backup within about 90 minutes (Observed, low confidence).</w:t>
      </w:r>
    </w:p>
    <w:p>
      <w:pPr>
        <w:spacing w:after="140"/>
      </w:pPr>
      <w:r>
        <w:rPr>
          <w:b/>
          <w:bCs/>
        </w:rPr>
        <w:t xml:space="preserve">5. SANKO TECHNO (August 2026).</w:t>
      </w:r>
      <w:r>
        <w:t xml:space="preserve"> [SANKO TECHNO - TSE ransomware disclosure][15] [SANKO TECHNO - Company overview][16] SANKO TECHNO, a supplier of post-installed anchors and fasteners for construction, disclosed that ransomware encrypted servers and PCs at its Vietnamese subsidiary, detected on 25 August 2026; the subsidiary network was isolated and the financial effect remained under review (Observed).</w:t>
      </w:r>
    </w:p>
    <w:p>
      <w:pPr>
        <w:pStyle w:val="Heading2"/>
      </w:pPr>
      <w:r>
        <w:t xml:space="preserve">Considered but not selected</w:t>
      </w:r>
    </w:p>
    <w:p>
      <w:pPr>
        <w:pStyle w:val="ListParagraph"/>
        <w:numPr>
          <w:ilvl w:val="0"/>
          <w:numId w:val="2"/>
        </w:numPr>
        <w:spacing w:after="80"/>
      </w:pPr>
      <w:r>
        <w:t xml:space="preserve">[Havtil - PST dam intrusion notice][17] [QBE and Control Risks - From blueprints to breaches][18] Bremanger dam, Norway: Norway's Police Security Service (PST) confirmed in August 2025 an investigation into connected attacks on industrial systems including the dam, which QBE reports had outflow valves opened for about four hours through weak passwords and poor IT/OT separation (Observed). The April 2025 observation sits outside the reporting period and is used as contextual pattern evidence for P4.</w:t>
      </w:r>
    </w:p>
    <w:p>
      <w:pPr>
        <w:pStyle w:val="ListParagraph"/>
        <w:numPr>
          <w:ilvl w:val="0"/>
          <w:numId w:val="2"/>
        </w:numPr>
        <w:spacing w:after="80"/>
      </w:pPr>
      <w:r>
        <w:t xml:space="preserve">[ICO - Interserve penalty][30] Interserve, UK: the 2022 GBP 4.4 million ICO penalty for a 2020 phishing-led intrusion is historical and used only in Chapter 3 as a regulatory-outcome precedent (Observed).</w:t>
      </w:r>
    </w:p>
    <w:p>
      <w:pPr>
        <w:pStyle w:val="ListParagraph"/>
        <w:numPr>
          <w:ilvl w:val="0"/>
          <w:numId w:val="2"/>
        </w:numPr>
        <w:spacing w:after="80"/>
      </w:pPr>
      <w:r>
        <w:t xml:space="preserve">Private contractor victims visible only on ransomware leak sites or in Tier 3 reporting were excluded as named incidents; they inform the P1 benchmark only.</w:t>
      </w:r>
    </w:p>
    <w:p>
      <w:pPr>
        <w:spacing w:after="140"/>
      </w:pPr>
      <w:r>
        <w:t xml:space="preserve">Shortfall statement: five incidents meet the standard, but only two (FLC and SANKO TECHNO) concern contractors or materials suppliers; the others concern public owners, a public-sector supplier and public-works operators. This reflects disclosure asymmetry: public bodies publish governance records, while private contractors rarely do.</w:t>
      </w:r>
    </w:p>
    <w:p>
      <w:pPr>
        <w:pStyle w:val="Heading1"/>
        <w:pageBreakBefore/>
      </w:pPr>
      <w:r>
        <w:t xml:space="preserve">Financial Impact: Building &amp; Public Works</w:t>
      </w:r>
    </w:p>
    <w:p>
      <w:pPr>
        <w:pStyle w:val="Heading2"/>
      </w:pPr>
      <w:r>
        <w:t xml:space="preserve">Bottom line</w:t>
      </w:r>
    </w:p>
    <w:p>
      <w:pPr>
        <w:spacing w:after="140"/>
      </w:pPr>
      <w:r>
        <w:t xml:space="preserve">Public financial evidence for B&amp;PW cyber incidents is sparse and heterogeneous. The only in-period quantified costs come from one public owner and one regulator; no contractor or supplier has disclosed a cyber-driven cost, delay or contractual outcome. The dominant economic mechanism suggested by the evidence is time: weeks of downtime in delivery operations and months of disruption in owner approval processes, with constrained (duration undisclosed) payment processing.</w:t>
      </w:r>
    </w:p>
    <w:p>
      <w:pPr>
        <w:pStyle w:val="Heading2"/>
      </w:pPr>
      <w:r>
        <w:t xml:space="preserve">Public operational and financial outcomes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21"/>
        <w:gridCol w:w="2335"/>
        <w:gridCol w:w="1288"/>
        <w:gridCol w:w="1619"/>
        <w:gridCol w:w="1468"/>
        <w:gridCol w:w="2075"/>
      </w:tblGrid>
      <w:tr>
        <w:trPr>
          <w:cantSplit/>
          <w:tblHeader/>
        </w:trPr>
        <w:tc>
          <w:tcPr>
            <w:tcW w:type="dxa" w:w="1121"/>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Case</w:t>
            </w:r>
          </w:p>
        </w:tc>
        <w:tc>
          <w:tcPr>
            <w:tcW w:type="dxa" w:w="2335"/>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Metric type</w:t>
            </w:r>
          </w:p>
        </w:tc>
        <w:tc>
          <w:tcPr>
            <w:tcW w:type="dxa" w:w="1288"/>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Value</w:t>
            </w:r>
          </w:p>
        </w:tc>
        <w:tc>
          <w:tcPr>
            <w:tcW w:type="dxa" w:w="1619"/>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Period</w:t>
            </w:r>
          </w:p>
        </w:tc>
        <w:tc>
          <w:tcPr>
            <w:tcW w:type="dxa" w:w="1468"/>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Population</w:t>
            </w:r>
          </w:p>
        </w:tc>
        <w:tc>
          <w:tcPr>
            <w:tcW w:type="dxa" w:w="2075"/>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Comparability note</w:t>
            </w:r>
          </w:p>
        </w:tc>
      </w:tr>
      <w:tr>
        <w:trPr>
          <w:cantSplit/>
          <w:tblHeader w:val="false"/>
        </w:trPr>
        <w:tc>
          <w:tcPr>
            <w:tcW w:type="dxa" w:w="112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RBKC</w:t>
            </w:r>
          </w:p>
        </w:tc>
        <w:tc>
          <w:tcPr>
            <w:tcW w:type="dxa" w:w="233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Recovery costs recognised in 2025/26 accounts</w:t>
            </w:r>
          </w:p>
        </w:tc>
        <w:tc>
          <w:tcPr>
            <w:tcW w:type="dxa" w:w="128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GBP 1.2 million</w:t>
            </w:r>
          </w:p>
        </w:tc>
        <w:tc>
          <w:tcPr>
            <w:tcW w:type="dxa" w:w="161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Financial year 2025/26</w:t>
            </w:r>
          </w:p>
        </w:tc>
        <w:tc>
          <w:tcPr>
            <w:tcW w:type="dxa" w:w="146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One local authority</w:t>
            </w:r>
          </w:p>
        </w:tc>
        <w:tc>
          <w:tcPr>
            <w:tcW w:type="dxa" w:w="207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Partial year; further costs unquantified</w:t>
            </w:r>
          </w:p>
        </w:tc>
      </w:tr>
      <w:tr>
        <w:trPr>
          <w:cantSplit/>
          <w:tblHeader w:val="false"/>
        </w:trPr>
        <w:tc>
          <w:tcPr>
            <w:tcW w:type="dxa" w:w="112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RBKC</w:t>
            </w:r>
          </w:p>
        </w:tc>
        <w:tc>
          <w:tcPr>
            <w:tcW w:type="dxa" w:w="233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Payment flow maintained by controlled run</w:t>
            </w:r>
          </w:p>
        </w:tc>
        <w:tc>
          <w:tcPr>
            <w:tcW w:type="dxa" w:w="128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More than GBP 5 million of invoices</w:t>
            </w:r>
          </w:p>
        </w:tc>
        <w:tc>
          <w:tcPr>
            <w:tcW w:type="dxa" w:w="161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November 2025 to January 2026</w:t>
            </w:r>
          </w:p>
        </w:tc>
        <w:tc>
          <w:tcPr>
            <w:tcW w:type="dxa" w:w="146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One local authority</w:t>
            </w:r>
          </w:p>
        </w:tc>
        <w:tc>
          <w:tcPr>
            <w:tcW w:type="dxa" w:w="207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Payment flow, not a cost</w:t>
            </w:r>
          </w:p>
        </w:tc>
      </w:tr>
      <w:tr>
        <w:trPr>
          <w:cantSplit/>
          <w:tblHeader w:val="false"/>
        </w:trPr>
        <w:tc>
          <w:tcPr>
            <w:tcW w:type="dxa" w:w="112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RBKC</w:t>
            </w:r>
          </w:p>
        </w:tc>
        <w:tc>
          <w:tcPr>
            <w:tcW w:type="dxa" w:w="233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Planning service outage (derived)</w:t>
            </w:r>
          </w:p>
        </w:tc>
        <w:tc>
          <w:tcPr>
            <w:tcW w:type="dxa" w:w="128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105 days</w:t>
            </w:r>
          </w:p>
        </w:tc>
        <w:tc>
          <w:tcPr>
            <w:tcW w:type="dxa" w:w="161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24 November 2025 to 9 March 2026</w:t>
            </w:r>
          </w:p>
        </w:tc>
        <w:tc>
          <w:tcPr>
            <w:tcW w:type="dxa" w:w="146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One planning service</w:t>
            </w:r>
          </w:p>
        </w:tc>
        <w:tc>
          <w:tcPr>
            <w:tcW w:type="dxa" w:w="207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Derived from two Tier 1 dates; backlog continued</w:t>
            </w:r>
          </w:p>
        </w:tc>
      </w:tr>
      <w:tr>
        <w:trPr>
          <w:cantSplit/>
          <w:tblHeader w:val="false"/>
        </w:trPr>
        <w:tc>
          <w:tcPr>
            <w:tcW w:type="dxa" w:w="112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RBKC</w:t>
            </w:r>
          </w:p>
        </w:tc>
        <w:tc>
          <w:tcPr>
            <w:tcW w:type="dxa" w:w="233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Revenues and benefits outage</w:t>
            </w:r>
          </w:p>
        </w:tc>
        <w:tc>
          <w:tcPr>
            <w:tcW w:type="dxa" w:w="128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About six months</w:t>
            </w:r>
          </w:p>
        </w:tc>
        <w:tc>
          <w:tcPr>
            <w:tcW w:type="dxa" w:w="161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November 2025 to early June 2026</w:t>
            </w:r>
          </w:p>
        </w:tc>
        <w:tc>
          <w:tcPr>
            <w:tcW w:type="dxa" w:w="146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One local authority</w:t>
            </w:r>
          </w:p>
        </w:tc>
        <w:tc>
          <w:tcPr>
            <w:tcW w:type="dxa" w:w="207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Approximate end date</w:t>
            </w:r>
          </w:p>
        </w:tc>
      </w:tr>
      <w:tr>
        <w:trPr>
          <w:cantSplit/>
          <w:tblHeader w:val="false"/>
        </w:trPr>
        <w:tc>
          <w:tcPr>
            <w:tcW w:type="dxa" w:w="112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Miljödata</w:t>
            </w:r>
          </w:p>
        </w:tc>
        <w:tc>
          <w:tcPr>
            <w:tcW w:type="dxa" w:w="233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Regulatory fine (GDPR Article 32)</w:t>
            </w:r>
          </w:p>
        </w:tc>
        <w:tc>
          <w:tcPr>
            <w:tcW w:type="dxa" w:w="128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SEK 1.8 million</w:t>
            </w:r>
          </w:p>
        </w:tc>
        <w:tc>
          <w:tcPr>
            <w:tcW w:type="dxa" w:w="161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Decision 22 September 2026</w:t>
            </w:r>
          </w:p>
        </w:tc>
        <w:tc>
          <w:tcPr>
            <w:tcW w:type="dxa" w:w="146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One software supplier</w:t>
            </w:r>
          </w:p>
        </w:tc>
        <w:tc>
          <w:tcPr>
            <w:tcW w:type="dxa" w:w="207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Customer costs unknown</w:t>
            </w:r>
          </w:p>
        </w:tc>
      </w:tr>
      <w:tr>
        <w:trPr>
          <w:cantSplit/>
          <w:tblHeader w:val="false"/>
        </w:trPr>
        <w:tc>
          <w:tcPr>
            <w:tcW w:type="dxa" w:w="112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Femern Link Contractors</w:t>
            </w:r>
          </w:p>
        </w:tc>
        <w:tc>
          <w:tcPr>
            <w:tcW w:type="dxa" w:w="233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Cost, delay, contractual effect</w:t>
            </w:r>
          </w:p>
        </w:tc>
        <w:tc>
          <w:tcPr>
            <w:tcW w:type="dxa" w:w="128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Not disclosed</w:t>
            </w:r>
          </w:p>
        </w:tc>
        <w:tc>
          <w:tcPr>
            <w:tcW w:type="dxa" w:w="161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October 2026</w:t>
            </w:r>
          </w:p>
        </w:tc>
        <w:tc>
          <w:tcPr>
            <w:tcW w:type="dxa" w:w="146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One contractor joint venture</w:t>
            </w:r>
          </w:p>
        </w:tc>
        <w:tc>
          <w:tcPr>
            <w:tcW w:type="dxa" w:w="207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Absence of data is not zero</w:t>
            </w:r>
          </w:p>
        </w:tc>
      </w:tr>
      <w:tr>
        <w:trPr>
          <w:cantSplit/>
          <w:tblHeader w:val="false"/>
        </w:trPr>
        <w:tc>
          <w:tcPr>
            <w:tcW w:type="dxa" w:w="112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SANKO TECHNO</w:t>
            </w:r>
          </w:p>
        </w:tc>
        <w:tc>
          <w:tcPr>
            <w:tcW w:type="dxa" w:w="233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Financial impact</w:t>
            </w:r>
          </w:p>
        </w:tc>
        <w:tc>
          <w:tcPr>
            <w:tcW w:type="dxa" w:w="128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Under review, not disclosed</w:t>
            </w:r>
          </w:p>
        </w:tc>
        <w:tc>
          <w:tcPr>
            <w:tcW w:type="dxa" w:w="161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August 2026</w:t>
            </w:r>
          </w:p>
        </w:tc>
        <w:tc>
          <w:tcPr>
            <w:tcW w:type="dxa" w:w="146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One materials group</w:t>
            </w:r>
          </w:p>
        </w:tc>
        <w:tc>
          <w:tcPr>
            <w:tcW w:type="dxa" w:w="207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Absence of data is not zero</w:t>
            </w:r>
          </w:p>
        </w:tc>
      </w:tr>
      <w:tr>
        <w:trPr>
          <w:cantSplit/>
          <w:tblHeader w:val="false"/>
        </w:trPr>
        <w:tc>
          <w:tcPr>
            <w:tcW w:type="dxa" w:w="112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Construction ransomware (QBE)</w:t>
            </w:r>
          </w:p>
        </w:tc>
        <w:tc>
          <w:tcPr>
            <w:tcW w:type="dxa" w:w="233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Average downtime per incident</w:t>
            </w:r>
          </w:p>
        </w:tc>
        <w:tc>
          <w:tcPr>
            <w:tcW w:type="dxa" w:w="128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24 days</w:t>
            </w:r>
          </w:p>
        </w:tc>
        <w:tc>
          <w:tcPr>
            <w:tcW w:type="dxa" w:w="161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Calendar year 2025</w:t>
            </w:r>
          </w:p>
        </w:tc>
        <w:tc>
          <w:tcPr>
            <w:tcW w:type="dxa" w:w="146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Undisclosed sample</w:t>
            </w:r>
          </w:p>
        </w:tc>
        <w:tc>
          <w:tcPr>
            <w:tcW w:type="dxa" w:w="207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Method undisclosed</w:t>
            </w:r>
          </w:p>
        </w:tc>
      </w:tr>
      <w:tr>
        <w:trPr>
          <w:cantSplit/>
          <w:tblHeader w:val="false"/>
        </w:trPr>
        <w:tc>
          <w:tcPr>
            <w:tcW w:type="dxa" w:w="112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Interserve (historical)</w:t>
            </w:r>
          </w:p>
        </w:tc>
        <w:tc>
          <w:tcPr>
            <w:tcW w:type="dxa" w:w="233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Regulatory fine; recovery and advisory fees</w:t>
            </w:r>
          </w:p>
        </w:tc>
        <w:tc>
          <w:tcPr>
            <w:tcW w:type="dxa" w:w="128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GBP 4.4 million; GBP 7 million</w:t>
            </w:r>
          </w:p>
        </w:tc>
        <w:tc>
          <w:tcPr>
            <w:tcW w:type="dxa" w:w="161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2020 incident; 2022 penalty</w:t>
            </w:r>
          </w:p>
        </w:tc>
        <w:tc>
          <w:tcPr>
            <w:tcW w:type="dxa" w:w="146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One construction group</w:t>
            </w:r>
          </w:p>
        </w:tc>
        <w:tc>
          <w:tcPr>
            <w:tcW w:type="dxa" w:w="207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Recovery figure secondary (QBE)</w:t>
            </w:r>
          </w:p>
        </w:tc>
      </w:tr>
    </w:tbl>
    <w:p>
      <w:pPr>
        <w:spacing w:after="120"/>
      </w:pPr>
    </w:p>
    <w:p>
      <w:pPr>
        <w:spacing w:after="140"/>
      </w:pPr>
      <w:r>
        <w:t xml:space="preserve">[RBKC - Audit and Transparency Committee pack September 2026][7] RBKC recorded GBP 1.2 million of cyber costs in 2025/26 and its external auditor listed further recovery costs as an unquantified risk (Observed). [RBKC - Incident summary and recovery plans][5] [RBKC - Cyber attack recovery update March 2026][6] [RBKC - Cyber security attack FAQs][8] Service durations derive from Tier 1 dates: planning and land search returned on 9 March 2026 and revenues and benefits were unavailable from November 2025 to early June 2026 (Proxy). [IMY - Sanction against Miljödata][10] The Miljödata fine is SEK 1.8 million (Observed). [QBE - UK construction project delivery release][19] The 24-day downtime average is a sector benchmark with undisclosed method (Benchmark). [ICO - Interserve penalty][30] [QBE and Control Risks - From blueprints to breaches][18] Interserve's GBP 4.4 million penalty is a historical precedent; the GBP 7 million recovery figure is reported by QBE, not by the ICO (Observed; historical).</w:t>
      </w:r>
    </w:p>
    <w:p>
      <w:pPr>
        <w:spacing w:after="140"/>
      </w:pPr>
      <w:r>
        <w:t xml:space="preserve">Comparability: these values cannot be summed or averaged. They differ in currency (GBP, SEK), statistic type (accounts cost, fine, duration, payment flow), population (one council, one supplier, an undisclosed insurer sample) and legal regime. No sector-wide loss estimate is produced.</w:t>
      </w:r>
    </w:p>
    <w:p>
      <w:pPr>
        <w:pStyle w:val="Heading2"/>
      </w:pPr>
      <w:r>
        <w:t xml:space="preserve">Impact types: what is and is not publicly evidenced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90"/>
        <w:gridCol w:w="6238"/>
        <w:gridCol w:w="1778"/>
      </w:tblGrid>
      <w:tr>
        <w:trPr>
          <w:cantSplit/>
          <w:tblHeader/>
        </w:trPr>
        <w:tc>
          <w:tcPr>
            <w:tcW w:type="dxa" w:w="1890"/>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Impact type</w:t>
            </w:r>
          </w:p>
        </w:tc>
        <w:tc>
          <w:tcPr>
            <w:tcW w:type="dxa" w:w="6238"/>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Public evidence in scope</w:t>
            </w:r>
          </w:p>
        </w:tc>
        <w:tc>
          <w:tcPr>
            <w:tcW w:type="dxa" w:w="1778"/>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Status</w:t>
            </w:r>
          </w:p>
        </w:tc>
      </w:tr>
      <w:tr>
        <w:trPr>
          <w:cantSplit/>
          <w:tblHeader w:val="false"/>
        </w:trPr>
        <w:tc>
          <w:tcPr>
            <w:tcW w:type="dxa" w:w="189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Project delay</w:t>
            </w:r>
          </w:p>
        </w:tc>
        <w:tc>
          <w:tcPr>
            <w:tcW w:type="dxa" w:w="623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Reported idle vessels at Fehmarnbelt; QBE 24-day downtime average</w:t>
            </w:r>
          </w:p>
        </w:tc>
        <w:tc>
          <w:tcPr>
            <w:tcW w:type="dxa" w:w="177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Indicated; not quantified for any named project</w:t>
            </w:r>
          </w:p>
        </w:tc>
      </w:tr>
      <w:tr>
        <w:trPr>
          <w:cantSplit/>
          <w:tblHeader w:val="false"/>
        </w:trPr>
        <w:tc>
          <w:tcPr>
            <w:tcW w:type="dxa" w:w="189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Cost escalation</w:t>
            </w:r>
          </w:p>
        </w:tc>
        <w:tc>
          <w:tcPr>
            <w:tcW w:type="dxa" w:w="623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QBE describes escalating costs and completion risk</w:t>
            </w:r>
          </w:p>
        </w:tc>
        <w:tc>
          <w:tcPr>
            <w:tcW w:type="dxa" w:w="177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Qualitative only</w:t>
            </w:r>
          </w:p>
        </w:tc>
      </w:tr>
      <w:tr>
        <w:trPr>
          <w:cantSplit/>
          <w:tblHeader w:val="false"/>
        </w:trPr>
        <w:tc>
          <w:tcPr>
            <w:tcW w:type="dxa" w:w="189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Response and recovery cost</w:t>
            </w:r>
          </w:p>
        </w:tc>
        <w:tc>
          <w:tcPr>
            <w:tcW w:type="dxa" w:w="623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RBKC recovery costs of GBP 1.2 million recognised in 2025/26</w:t>
            </w:r>
          </w:p>
        </w:tc>
        <w:tc>
          <w:tcPr>
            <w:tcW w:type="dxa" w:w="177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Observed for one owner</w:t>
            </w:r>
          </w:p>
        </w:tc>
      </w:tr>
      <w:tr>
        <w:trPr>
          <w:cantSplit/>
          <w:tblHeader w:val="false"/>
        </w:trPr>
        <w:tc>
          <w:tcPr>
            <w:tcW w:type="dxa" w:w="189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Further recovery cost</w:t>
            </w:r>
          </w:p>
        </w:tc>
        <w:tc>
          <w:tcPr>
            <w:tcW w:type="dxa" w:w="623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RBKC further costs unquantified; Interserve GBP 7 million (historical, secondary)</w:t>
            </w:r>
          </w:p>
        </w:tc>
        <w:tc>
          <w:tcPr>
            <w:tcW w:type="dxa" w:w="177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Partial</w:t>
            </w:r>
          </w:p>
        </w:tc>
      </w:tr>
      <w:tr>
        <w:trPr>
          <w:cantSplit/>
          <w:tblHeader w:val="false"/>
        </w:trPr>
        <w:tc>
          <w:tcPr>
            <w:tcW w:type="dxa" w:w="189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Contractual impact</w:t>
            </w:r>
          </w:p>
        </w:tc>
        <w:tc>
          <w:tcPr>
            <w:tcW w:type="dxa" w:w="623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QBE cites disputes and subcontractor knock-on effects</w:t>
            </w:r>
          </w:p>
        </w:tc>
        <w:tc>
          <w:tcPr>
            <w:tcW w:type="dxa" w:w="177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No named contractual outcome</w:t>
            </w:r>
          </w:p>
        </w:tc>
      </w:tr>
      <w:tr>
        <w:trPr>
          <w:cantSplit/>
          <w:tblHeader w:val="false"/>
        </w:trPr>
        <w:tc>
          <w:tcPr>
            <w:tcW w:type="dxa" w:w="189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Revenue effect</w:t>
            </w:r>
          </w:p>
        </w:tc>
        <w:tc>
          <w:tcPr>
            <w:tcW w:type="dxa" w:w="623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RBKC revised collection assumptions and expected credit loss provision</w:t>
            </w:r>
          </w:p>
        </w:tc>
        <w:tc>
          <w:tcPr>
            <w:tcW w:type="dxa" w:w="177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Observed qualitatively</w:t>
            </w:r>
          </w:p>
        </w:tc>
      </w:tr>
      <w:tr>
        <w:trPr>
          <w:cantSplit/>
          <w:tblHeader w:val="false"/>
        </w:trPr>
        <w:tc>
          <w:tcPr>
            <w:tcW w:type="dxa" w:w="189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Public-service effect</w:t>
            </w:r>
          </w:p>
        </w:tc>
        <w:tc>
          <w:tcPr>
            <w:tcW w:type="dxa" w:w="623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RBKC planning, repairs, benefits; Minnesota water OT</w:t>
            </w:r>
          </w:p>
        </w:tc>
        <w:tc>
          <w:tcPr>
            <w:tcW w:type="dxa" w:w="177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Observed</w:t>
            </w:r>
          </w:p>
        </w:tc>
      </w:tr>
      <w:tr>
        <w:trPr>
          <w:cantSplit/>
          <w:tblHeader w:val="false"/>
        </w:trPr>
        <w:tc>
          <w:tcPr>
            <w:tcW w:type="dxa" w:w="189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Regulatory outcome</w:t>
            </w:r>
          </w:p>
        </w:tc>
        <w:tc>
          <w:tcPr>
            <w:tcW w:type="dxa" w:w="623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Miljödata SEK 1.8 million; IMY reviews of customers; Interserve GBP 4.4 million (historical)</w:t>
            </w:r>
          </w:p>
        </w:tc>
        <w:tc>
          <w:tcPr>
            <w:tcW w:type="dxa" w:w="177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Observed</w:t>
            </w:r>
          </w:p>
        </w:tc>
      </w:tr>
      <w:tr>
        <w:trPr>
          <w:cantSplit/>
          <w:tblHeader w:val="false"/>
        </w:trPr>
        <w:tc>
          <w:tcPr>
            <w:tcW w:type="dxa" w:w="189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Insurance effect</w:t>
            </w:r>
          </w:p>
        </w:tc>
        <w:tc>
          <w:tcPr>
            <w:tcW w:type="dxa" w:w="623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RBKC appointed an expert via its insurers; no claim value disclosed</w:t>
            </w:r>
          </w:p>
        </w:tc>
        <w:tc>
          <w:tcPr>
            <w:tcW w:type="dxa" w:w="177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Not quantified</w:t>
            </w:r>
          </w:p>
        </w:tc>
      </w:tr>
      <w:tr>
        <w:trPr>
          <w:cantSplit/>
          <w:tblHeader w:val="false"/>
        </w:trPr>
        <w:tc>
          <w:tcPr>
            <w:tcW w:type="dxa" w:w="189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Wider economic transmission</w:t>
            </w:r>
          </w:p>
        </w:tc>
        <w:tc>
          <w:tcPr>
            <w:tcW w:type="dxa" w:w="623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JLR GBP 1.5 billion guarantee (cross-sector precedent)</w:t>
            </w:r>
          </w:p>
        </w:tc>
        <w:tc>
          <w:tcPr>
            <w:tcW w:type="dxa" w:w="177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Proxy only</w:t>
            </w:r>
          </w:p>
        </w:tc>
      </w:tr>
    </w:tbl>
    <w:p>
      <w:pPr>
        <w:spacing w:after="120"/>
      </w:pPr>
    </w:p>
    <w:p>
      <w:pPr>
        <w:spacing w:after="140"/>
      </w:pPr>
      <w:r>
        <w:t xml:space="preserve">[RBKC - Audit and Transparency Committee pack September 2026][7] RBKC's cyber recovery led to revised collection assumptions and a higher expected credit loss provision (Observed). [RBKC - Cyber attack recovery update March 2026][6] The council appointed an external expert to analyse copied files via its insurers, without disclosing claim details (Observed).</w:t>
      </w:r>
    </w:p>
    <w:p>
      <w:pPr>
        <w:pStyle w:val="Heading2"/>
      </w:pPr>
      <w:r>
        <w:t xml:space="preserve">Financial-system transmission (conditional channels)</w:t>
      </w:r>
    </w:p>
    <w:p>
      <w:pPr>
        <w:pStyle w:val="ListParagraph"/>
        <w:numPr>
          <w:ilvl w:val="0"/>
          <w:numId w:val="2"/>
        </w:numPr>
        <w:spacing w:after="80"/>
      </w:pPr>
      <w:r>
        <w:rPr>
          <w:b/>
          <w:bCs/>
        </w:rPr>
        <w:t xml:space="preserve">Owner payment and certification delay.</w:t>
      </w:r>
      <w:r>
        <w:t xml:space="preserve"> [RBKC - Incident summary and recovery plans][5] At RBKC, new invoices and routine payments were constrained and a controlled payment run processed existing invoices (Observed). Judgement: when owners cannot certify or pay, contractors and subcontractors draw on working-capital facilities; the bank-relevant signal is unusual drawdown or overdue receivables from public counterparties.</w:t>
      </w:r>
    </w:p>
    <w:p>
      <w:pPr>
        <w:pStyle w:val="ListParagraph"/>
        <w:numPr>
          <w:ilvl w:val="0"/>
          <w:numId w:val="2"/>
        </w:numPr>
        <w:spacing w:after="80"/>
      </w:pPr>
      <w:r>
        <w:rPr>
          <w:b/>
          <w:bCs/>
        </w:rPr>
        <w:t xml:space="preserve">Supplier fragility and default.</w:t>
      </w:r>
      <w:r>
        <w:t xml:space="preserve"> [Insolvency Service via The Gazette - July 2026 statistics][31] Construction leads insolvency counts in England and Wales (Observed). [SC Media - Small construction firm collapse][45] Secondary reporting describes an unnamed small construction firm that closed months after ransomware destroyed its data and only backup (Tier 3, illustrative only). Judgement: cyber shocks can accelerate default among thinly capitalised subcontractors.</w:t>
      </w:r>
    </w:p>
    <w:p>
      <w:pPr>
        <w:pStyle w:val="ListParagraph"/>
        <w:numPr>
          <w:ilvl w:val="0"/>
          <w:numId w:val="2"/>
        </w:numPr>
        <w:spacing w:after="80"/>
      </w:pPr>
      <w:r>
        <w:rPr>
          <w:b/>
          <w:bCs/>
        </w:rPr>
        <w:t xml:space="preserve">Emergency liquidity for supply chains.</w:t>
      </w:r>
      <w:r>
        <w:t xml:space="preserve"> [UK Government - JLR loan guarantee][29] The JLR guarantee was structured as a commercial bank loan backed by UK Export Finance covering typically up to 80% of lender risk, explicitly to support suppliers (Observed). Judgement: a comparable B&amp;PW event affecting a tier-1 contractor would plausibly transmit through supplier payment terms and bank facilities rather than through direct losses.</w:t>
      </w:r>
    </w:p>
    <w:p>
      <w:pPr>
        <w:pStyle w:val="ListParagraph"/>
        <w:numPr>
          <w:ilvl w:val="0"/>
          <w:numId w:val="2"/>
        </w:numPr>
        <w:spacing w:after="80"/>
      </w:pPr>
      <w:r>
        <w:rPr>
          <w:b/>
          <w:bCs/>
        </w:rPr>
        <w:t xml:space="preserve">Payment-chain fraud.</w:t>
      </w:r>
      <w:r>
        <w:t xml:space="preserve"> [AFP - Construction BEC alert][26] AFP reported AUD 152.6 million stolen through BEC in 2024 across Australian businesses, with construction specifically targeted (Observed; economy-wide figure). Judgement: banks carry operational and customer-outcome exposure through payment-redirection fraud in contractor payment flows.</w:t>
      </w:r>
    </w:p>
    <w:p>
      <w:pPr>
        <w:pStyle w:val="ListParagraph"/>
        <w:numPr>
          <w:ilvl w:val="0"/>
          <w:numId w:val="2"/>
        </w:numPr>
        <w:spacing w:after="80"/>
      </w:pPr>
      <w:r>
        <w:rPr>
          <w:b/>
          <w:bCs/>
        </w:rPr>
        <w:t xml:space="preserve">Guarantees, bonds and insurance (analytic).</w:t>
      </w:r>
      <w:r>
        <w:t xml:space="preserve"> Judgement, without direct public case evidence: delay-driven claims can interact with performance bonds, advance-payment guarantees and liquidated damages; no in-period public case quantifies this channel.</w:t>
      </w:r>
    </w:p>
    <w:p>
      <w:pPr>
        <w:pStyle w:val="Heading1"/>
        <w:pageBreakBefore/>
      </w:pPr>
      <w:r>
        <w:t xml:space="preserve">Financial Impact: Worst-Case Scenarios</w:t>
      </w:r>
    </w:p>
    <w:p>
      <w:pPr>
        <w:spacing w:after="140"/>
      </w:pPr>
      <w:r>
        <w:t xml:space="preserve">The three scenarios below are structured stress narratives, not forecasts or loss estimates for any institution. No probabilities are assigned because no defensible external basis exists.</w:t>
      </w:r>
    </w:p>
    <w:p>
      <w:pPr>
        <w:pStyle w:val="Heading2"/>
      </w:pPr>
      <w:r>
        <w:t xml:space="preserve">Scenario 1 - Common digital-dependency failure</w:t>
      </w:r>
    </w:p>
    <w:p>
      <w:pPr>
        <w:pStyle w:val="ListParagraph"/>
        <w:numPr>
          <w:ilvl w:val="0"/>
          <w:numId w:val="2"/>
        </w:numPr>
        <w:spacing w:after="80"/>
      </w:pPr>
      <w:r>
        <w:rPr>
          <w:b/>
          <w:bCs/>
        </w:rPr>
        <w:t xml:space="preserve">Trigger (Assumption).</w:t>
      </w:r>
      <w:r>
        <w:t xml:space="preserve"> [Procore - FY2025 Form 10-K][27] [QBE and Control Risks - From blueprints to breaches][18] A multi-day availability failure of a common service - a widely used construction-management or common-data-environment platform, its identity provider or its hosting cloud region - without data compromise.</w:t>
      </w:r>
    </w:p>
    <w:p>
      <w:pPr>
        <w:pStyle w:val="ListParagraph"/>
        <w:numPr>
          <w:ilvl w:val="0"/>
          <w:numId w:val="2"/>
        </w:numPr>
        <w:spacing w:after="80"/>
      </w:pPr>
      <w:r>
        <w:rPr>
          <w:b/>
          <w:bCs/>
        </w:rPr>
        <w:t xml:space="preserve">Affected service.</w:t>
      </w:r>
      <w:r>
        <w:t xml:space="preserve"> Drawings, requests for information (RFIs), permits-to-work, site diaries, valuations and payment applications.</w:t>
      </w:r>
    </w:p>
    <w:p>
      <w:pPr>
        <w:pStyle w:val="ListParagraph"/>
        <w:numPr>
          <w:ilvl w:val="0"/>
          <w:numId w:val="2"/>
        </w:numPr>
        <w:spacing w:after="80"/>
      </w:pPr>
      <w:r>
        <w:rPr>
          <w:b/>
          <w:bCs/>
        </w:rPr>
        <w:t xml:space="preserve">Propagation pathway.</w:t>
      </w:r>
      <w:r>
        <w:t xml:space="preserve"> [Procore - FY2025 Form 10-K][27] One platform reports 17,850 customers in about 160 countries and reliance on third-party data centres such as AWS, with customers having low tolerance for interruptions (Observed); a shared outage hits many contractors, owners and consultants at once.</w:t>
      </w:r>
    </w:p>
    <w:p>
      <w:pPr>
        <w:pStyle w:val="ListParagraph"/>
        <w:numPr>
          <w:ilvl w:val="0"/>
          <w:numId w:val="2"/>
        </w:numPr>
        <w:spacing w:after="80"/>
      </w:pPr>
      <w:r>
        <w:rPr>
          <w:b/>
          <w:bCs/>
        </w:rPr>
        <w:t xml:space="preserve">Impact drivers.</w:t>
      </w:r>
      <w:r>
        <w:t xml:space="preserve"> [QBE and Control Risks - From blueprints to breaches][18] In a 2023 survey cited by QBE, 77% of respondents said they could tolerate no more than five days without project documentation (Benchmark, low confidence).</w:t>
      </w:r>
    </w:p>
    <w:p>
      <w:pPr>
        <w:pStyle w:val="ListParagraph"/>
        <w:numPr>
          <w:ilvl w:val="0"/>
          <w:numId w:val="2"/>
        </w:numPr>
        <w:spacing w:after="80"/>
      </w:pPr>
      <w:r>
        <w:rPr>
          <w:b/>
          <w:bCs/>
        </w:rPr>
        <w:t xml:space="preserve">Financial transmission.</w:t>
      </w:r>
      <w:r>
        <w:t xml:space="preserve"> Delayed valuations and certifications, slower cash conversion for contractors, delay-entitlement disputes, and concurrent drawdown on bank facilities across many borrowers in the same sector.</w:t>
      </w:r>
    </w:p>
    <w:p>
      <w:pPr>
        <w:pStyle w:val="ListParagraph"/>
        <w:numPr>
          <w:ilvl w:val="0"/>
          <w:numId w:val="2"/>
        </w:numPr>
        <w:spacing w:after="80"/>
      </w:pPr>
      <w:r>
        <w:rPr>
          <w:b/>
          <w:bCs/>
        </w:rPr>
        <w:t xml:space="preserve">Early signposts.</w:t>
      </w:r>
      <w:r>
        <w:t xml:space="preserve"> Provider status incidents; regional cloud impairments; credential-phishing waves against platform users. [The Register - AWS UAE drone strikes][28] Secondary reporting of AWS notices in March 2026 described drone strikes that impaired two of three UAE availability zones, with customers advised to move workloads (Tier 3; illustrative of physical regional loss, not used as a finding).</w:t>
      </w:r>
    </w:p>
    <w:p>
      <w:pPr>
        <w:pStyle w:val="ListParagraph"/>
        <w:numPr>
          <w:ilvl w:val="0"/>
          <w:numId w:val="2"/>
        </w:numPr>
        <w:spacing w:after="80"/>
      </w:pPr>
      <w:r>
        <w:rPr>
          <w:b/>
          <w:bCs/>
        </w:rPr>
        <w:t xml:space="preserve">Limiting conditions.</w:t>
      </w:r>
      <w:r>
        <w:t xml:space="preserve"> Offline copies, alternative channels, multi-region hosting and contract float.</w:t>
      </w:r>
    </w:p>
    <w:p>
      <w:pPr>
        <w:pStyle w:val="ListParagraph"/>
        <w:numPr>
          <w:ilvl w:val="0"/>
          <w:numId w:val="2"/>
        </w:numPr>
        <w:spacing w:after="80"/>
      </w:pPr>
      <w:r>
        <w:rPr>
          <w:b/>
          <w:bCs/>
        </w:rPr>
        <w:t xml:space="preserve">Management questions.</w:t>
      </w:r>
      <w:r>
        <w:t xml:space="preserve"> Which shared platforms and identity providers do the sector's largest counterparties depend on, and is there evidence of tested offline continuity for valuation and payment processes?</w:t>
      </w:r>
    </w:p>
    <w:p>
      <w:pPr>
        <w:pStyle w:val="Heading2"/>
      </w:pPr>
      <w:r>
        <w:t xml:space="preserve">Scenario 2 - Targeted operational disruption</w:t>
      </w:r>
    </w:p>
    <w:p>
      <w:pPr>
        <w:pStyle w:val="ListParagraph"/>
        <w:numPr>
          <w:ilvl w:val="0"/>
          <w:numId w:val="2"/>
        </w:numPr>
        <w:spacing w:after="80"/>
      </w:pPr>
      <w:r>
        <w:rPr>
          <w:b/>
          <w:bCs/>
        </w:rPr>
        <w:t xml:space="preserve">Trigger (Assumption).</w:t>
      </w:r>
      <w:r>
        <w:t xml:space="preserve"> [Femern A/S - FLC cyber incident notice][1] [MNIT - Continued response, 30 July 2026][13] Ransomware or OT intrusion at a tier-1 contractor joint venture or a public-works operator during a time-sensitive programme phase, lasting one to four weeks (duration band informed by the 24-day QBE average; illustrative).</w:t>
      </w:r>
    </w:p>
    <w:p>
      <w:pPr>
        <w:pStyle w:val="ListParagraph"/>
        <w:numPr>
          <w:ilvl w:val="0"/>
          <w:numId w:val="2"/>
        </w:numPr>
        <w:spacing w:after="80"/>
      </w:pPr>
      <w:r>
        <w:rPr>
          <w:b/>
          <w:bCs/>
        </w:rPr>
        <w:t xml:space="preserve">Affected service.</w:t>
      </w:r>
      <w:r>
        <w:t xml:space="preserve"> Site access control, scheduling, marine positioning and tunnelling operations, water and public-works plant, and building-management environments.</w:t>
      </w:r>
    </w:p>
    <w:p>
      <w:pPr>
        <w:pStyle w:val="ListParagraph"/>
        <w:numPr>
          <w:ilvl w:val="0"/>
          <w:numId w:val="2"/>
        </w:numPr>
        <w:spacing w:after="80"/>
      </w:pPr>
      <w:r>
        <w:rPr>
          <w:b/>
          <w:bCs/>
        </w:rPr>
        <w:t xml:space="preserve">Propagation pathway.</w:t>
      </w:r>
      <w:r>
        <w:t xml:space="preserve"> [Copenhagen Post - Fehmarn Belt contractor incident][2] [Femern A/S - FLC cyber incident notice][1] Precautionary isolation of IT stops access control and coordination; in the Fehmarnbelt case media reported idle vessels (Observed, unconfirmed). [Havtil - PST dam intrusion notice][17] [QBE and Control Risks - From blueprints to breaches][18] For OT, weak passwords and poor IT/OT separation allowed direct manipulation of a dam's outflow in 2025 (contextual).</w:t>
      </w:r>
    </w:p>
    <w:p>
      <w:pPr>
        <w:pStyle w:val="ListParagraph"/>
        <w:numPr>
          <w:ilvl w:val="0"/>
          <w:numId w:val="2"/>
        </w:numPr>
        <w:spacing w:after="80"/>
      </w:pPr>
      <w:r>
        <w:rPr>
          <w:b/>
          <w:bCs/>
        </w:rPr>
        <w:t xml:space="preserve">Impact drivers.</w:t>
      </w:r>
      <w:r>
        <w:t xml:space="preserve"> Missed weather or marine windows, standby costs, safety stand-downs, liquidated-damages exposure and regulatory notifications.</w:t>
      </w:r>
    </w:p>
    <w:p>
      <w:pPr>
        <w:pStyle w:val="ListParagraph"/>
        <w:numPr>
          <w:ilvl w:val="0"/>
          <w:numId w:val="2"/>
        </w:numPr>
        <w:spacing w:after="80"/>
      </w:pPr>
      <w:r>
        <w:rPr>
          <w:b/>
          <w:bCs/>
        </w:rPr>
        <w:t xml:space="preserve">Financial transmission.</w:t>
      </w:r>
      <w:r>
        <w:t xml:space="preserve"> Contractor margin erosion and claims, bond and guarantee calls in disputes, insurer involvement, and pressure on subcontractors' liquidity.</w:t>
      </w:r>
    </w:p>
    <w:p>
      <w:pPr>
        <w:pStyle w:val="ListParagraph"/>
        <w:numPr>
          <w:ilvl w:val="0"/>
          <w:numId w:val="2"/>
        </w:numPr>
        <w:spacing w:after="80"/>
      </w:pPr>
      <w:r>
        <w:rPr>
          <w:b/>
          <w:bCs/>
        </w:rPr>
        <w:t xml:space="preserve">Early signposts.</w:t>
      </w:r>
      <w:r>
        <w:t xml:space="preserve"> Contractor incident notices; idle-site or vessel reports; state or national cyber-agency alerts on internet-exposed OT; hacktivist claims.</w:t>
      </w:r>
    </w:p>
    <w:p>
      <w:pPr>
        <w:pStyle w:val="ListParagraph"/>
        <w:numPr>
          <w:ilvl w:val="0"/>
          <w:numId w:val="2"/>
        </w:numPr>
        <w:spacing w:after="80"/>
      </w:pPr>
      <w:r>
        <w:rPr>
          <w:b/>
          <w:bCs/>
        </w:rPr>
        <w:t xml:space="preserve">Limiting conditions.</w:t>
      </w:r>
      <w:r>
        <w:t xml:space="preserve"> [AP via KFYR - Minnesota attribution report][14] Manual operation and segregated backups can restore service quickly; one Minnesota town restarted its plant within about 90 minutes (Observed).</w:t>
      </w:r>
    </w:p>
    <w:p>
      <w:pPr>
        <w:pStyle w:val="ListParagraph"/>
        <w:numPr>
          <w:ilvl w:val="0"/>
          <w:numId w:val="2"/>
        </w:numPr>
        <w:spacing w:after="80"/>
      </w:pPr>
      <w:r>
        <w:rPr>
          <w:b/>
          <w:bCs/>
        </w:rPr>
        <w:t xml:space="preserve">Management questions.</w:t>
      </w:r>
      <w:r>
        <w:t xml:space="preserve"> For major infrastructure counterparties, is there public evidence of OT segregation, tested manual fallback for programme-time-sensitive operations and incident-notification terms with owners?</w:t>
      </w:r>
    </w:p>
    <w:p>
      <w:pPr>
        <w:pStyle w:val="Heading2"/>
      </w:pPr>
      <w:r>
        <w:t xml:space="preserve">Scenario 3 - Third- or fourth-party supply-chain concentration</w:t>
      </w:r>
    </w:p>
    <w:p>
      <w:pPr>
        <w:pStyle w:val="ListParagraph"/>
        <w:numPr>
          <w:ilvl w:val="0"/>
          <w:numId w:val="2"/>
        </w:numPr>
        <w:spacing w:after="80"/>
      </w:pPr>
      <w:r>
        <w:rPr>
          <w:b/>
          <w:bCs/>
        </w:rPr>
        <w:t xml:space="preserve">Trigger (Assumption).</w:t>
      </w:r>
      <w:r>
        <w:t xml:space="preserve"> [IMY - Sanction against Miljödata][10] [Dragos - Industrial ransomware Q2 2026][20] A compromise that spreads through a shared supplier's access, data or payment relationships - a public-sector software supplier, a managed service provider, a building-materials manufacturer or a payment counterparty.</w:t>
      </w:r>
    </w:p>
    <w:p>
      <w:pPr>
        <w:pStyle w:val="ListParagraph"/>
        <w:numPr>
          <w:ilvl w:val="0"/>
          <w:numId w:val="2"/>
        </w:numPr>
        <w:spacing w:after="80"/>
      </w:pPr>
      <w:r>
        <w:rPr>
          <w:b/>
          <w:bCs/>
        </w:rPr>
        <w:t xml:space="preserve">Affected service.</w:t>
      </w:r>
      <w:r>
        <w:t xml:space="preserve"> Owner HR, health-and-safety and planning systems; materials supply; invoicing and payment processes.</w:t>
      </w:r>
    </w:p>
    <w:p>
      <w:pPr>
        <w:pStyle w:val="ListParagraph"/>
        <w:numPr>
          <w:ilvl w:val="0"/>
          <w:numId w:val="2"/>
        </w:numPr>
        <w:spacing w:after="80"/>
      </w:pPr>
      <w:r>
        <w:rPr>
          <w:b/>
          <w:bCs/>
        </w:rPr>
        <w:t xml:space="preserve">Propagation pathway.</w:t>
      </w:r>
      <w:r>
        <w:t xml:space="preserve"> [IMY - Sanction against Miljödata][10] [BleepingComputer - Miljödata fine][11] The Miljödata compromise reached a majority of Swedish municipalities (regulator) and, per secondary reporting, regions, state agencies and companies, and led the regulator to review customers as well as the supplier (Observed).</w:t>
      </w:r>
    </w:p>
    <w:p>
      <w:pPr>
        <w:pStyle w:val="ListParagraph"/>
        <w:numPr>
          <w:ilvl w:val="0"/>
          <w:numId w:val="2"/>
        </w:numPr>
        <w:spacing w:after="80"/>
      </w:pPr>
      <w:r>
        <w:rPr>
          <w:b/>
          <w:bCs/>
        </w:rPr>
        <w:t xml:space="preserve">Impact drivers.</w:t>
      </w:r>
      <w:r>
        <w:t xml:space="preserve"> Simultaneous data-breach notifications, supervisory reviews of customers, materials delivery interruption and payment-diversion fraud.</w:t>
      </w:r>
    </w:p>
    <w:p>
      <w:pPr>
        <w:pStyle w:val="ListParagraph"/>
        <w:numPr>
          <w:ilvl w:val="0"/>
          <w:numId w:val="2"/>
        </w:numPr>
        <w:spacing w:after="80"/>
      </w:pPr>
      <w:r>
        <w:rPr>
          <w:b/>
          <w:bCs/>
        </w:rPr>
        <w:t xml:space="preserve">Financial transmission.</w:t>
      </w:r>
      <w:r>
        <w:t xml:space="preserve"> Correlated delay across programmes that share a supplier; fraud losses in payment flows; supplier insolvency where recovery is prolonged.</w:t>
      </w:r>
    </w:p>
    <w:p>
      <w:pPr>
        <w:pStyle w:val="ListParagraph"/>
        <w:numPr>
          <w:ilvl w:val="0"/>
          <w:numId w:val="2"/>
        </w:numPr>
        <w:spacing w:after="80"/>
      </w:pPr>
      <w:r>
        <w:rPr>
          <w:b/>
          <w:bCs/>
        </w:rPr>
        <w:t xml:space="preserve">Early signposts.</w:t>
      </w:r>
      <w:r>
        <w:t xml:space="preserve"> Supplier breach notices; regulator investigations of customers; leak-site claims against materials suppliers; BEC alerts.</w:t>
      </w:r>
    </w:p>
    <w:p>
      <w:pPr>
        <w:pStyle w:val="ListParagraph"/>
        <w:numPr>
          <w:ilvl w:val="0"/>
          <w:numId w:val="2"/>
        </w:numPr>
        <w:spacing w:after="80"/>
      </w:pPr>
      <w:r>
        <w:rPr>
          <w:b/>
          <w:bCs/>
        </w:rPr>
        <w:t xml:space="preserve">Limiting conditions.</w:t>
      </w:r>
      <w:r>
        <w:t xml:space="preserve"> [SANKO TECHNO - TSE ransomware disclosure][15] Network segregation can contain a supplier incident to one subsidiary, as SANKO TECHNO reported (Observed).</w:t>
      </w:r>
    </w:p>
    <w:p>
      <w:pPr>
        <w:pStyle w:val="ListParagraph"/>
        <w:numPr>
          <w:ilvl w:val="0"/>
          <w:numId w:val="2"/>
        </w:numPr>
        <w:spacing w:after="80"/>
      </w:pPr>
      <w:r>
        <w:rPr>
          <w:b/>
          <w:bCs/>
        </w:rPr>
        <w:t xml:space="preserve">Management questions.</w:t>
      </w:r>
      <w:r>
        <w:t xml:space="preserve"> Which suppliers serve a large share of public owners or contractors in a market, and do counterparties hold exit, fallback and data-segregation arrangements?</w:t>
      </w:r>
    </w:p>
    <w:p>
      <w:pPr>
        <w:pStyle w:val="Heading2"/>
      </w:pPr>
      <w:r>
        <w:t xml:space="preserve">Scenario distinctness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6"/>
        <w:gridCol w:w="2318"/>
        <w:gridCol w:w="2674"/>
        <w:gridCol w:w="3528"/>
      </w:tblGrid>
      <w:tr>
        <w:trPr>
          <w:cantSplit/>
          <w:tblHeader/>
        </w:trPr>
        <w:tc>
          <w:tcPr>
            <w:tcW w:type="dxa" w:w="1386"/>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Dimension</w:t>
            </w:r>
          </w:p>
        </w:tc>
        <w:tc>
          <w:tcPr>
            <w:tcW w:type="dxa" w:w="2318"/>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Scenario 1</w:t>
            </w:r>
          </w:p>
        </w:tc>
        <w:tc>
          <w:tcPr>
            <w:tcW w:type="dxa" w:w="2674"/>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Scenario 2</w:t>
            </w:r>
          </w:p>
        </w:tc>
        <w:tc>
          <w:tcPr>
            <w:tcW w:type="dxa" w:w="3528"/>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Scenario 3</w:t>
            </w:r>
          </w:p>
        </w:tc>
      </w:tr>
      <w:tr>
        <w:trPr>
          <w:cantSplit/>
          <w:tblHeader w:val="false"/>
        </w:trPr>
        <w:tc>
          <w:tcPr>
            <w:tcW w:type="dxa" w:w="138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Point of failure</w:t>
            </w:r>
          </w:p>
        </w:tc>
        <w:tc>
          <w:tcPr>
            <w:tcW w:type="dxa" w:w="231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Availability of a common platform or cloud</w:t>
            </w:r>
          </w:p>
        </w:tc>
        <w:tc>
          <w:tcPr>
            <w:tcW w:type="dxa" w:w="267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One major contractor or operator</w:t>
            </w:r>
          </w:p>
        </w:tc>
        <w:tc>
          <w:tcPr>
            <w:tcW w:type="dxa" w:w="352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Compromise spreading through a supplier's access, data or payments</w:t>
            </w:r>
          </w:p>
        </w:tc>
      </w:tr>
      <w:tr>
        <w:trPr>
          <w:cantSplit/>
          <w:tblHeader w:val="false"/>
        </w:trPr>
        <w:tc>
          <w:tcPr>
            <w:tcW w:type="dxa" w:w="138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Breadth</w:t>
            </w:r>
          </w:p>
        </w:tc>
        <w:tc>
          <w:tcPr>
            <w:tcW w:type="dxa" w:w="231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Many firms at once</w:t>
            </w:r>
          </w:p>
        </w:tc>
        <w:tc>
          <w:tcPr>
            <w:tcW w:type="dxa" w:w="267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One programme or asset, deep effect</w:t>
            </w:r>
          </w:p>
        </w:tc>
        <w:tc>
          <w:tcPr>
            <w:tcW w:type="dxa" w:w="352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Many customers of one supplier</w:t>
            </w:r>
          </w:p>
        </w:tc>
      </w:tr>
      <w:tr>
        <w:trPr>
          <w:cantSplit/>
          <w:tblHeader w:val="false"/>
        </w:trPr>
        <w:tc>
          <w:tcPr>
            <w:tcW w:type="dxa" w:w="138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Main cost driver</w:t>
            </w:r>
          </w:p>
        </w:tc>
        <w:tc>
          <w:tcPr>
            <w:tcW w:type="dxa" w:w="231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Information and payment delay</w:t>
            </w:r>
          </w:p>
        </w:tc>
        <w:tc>
          <w:tcPr>
            <w:tcW w:type="dxa" w:w="267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Site and programme delay</w:t>
            </w:r>
          </w:p>
        </w:tc>
        <w:tc>
          <w:tcPr>
            <w:tcW w:type="dxa" w:w="352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Correlated delay, notifications, fraud</w:t>
            </w:r>
          </w:p>
        </w:tc>
      </w:tr>
      <w:tr>
        <w:trPr>
          <w:cantSplit/>
          <w:tblHeader w:val="false"/>
        </w:trPr>
        <w:tc>
          <w:tcPr>
            <w:tcW w:type="dxa" w:w="138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Key limiting condition</w:t>
            </w:r>
          </w:p>
        </w:tc>
        <w:tc>
          <w:tcPr>
            <w:tcW w:type="dxa" w:w="231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Offline continuity</w:t>
            </w:r>
          </w:p>
        </w:tc>
        <w:tc>
          <w:tcPr>
            <w:tcW w:type="dxa" w:w="267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Manual fallback and OT segregation</w:t>
            </w:r>
          </w:p>
        </w:tc>
        <w:tc>
          <w:tcPr>
            <w:tcW w:type="dxa" w:w="352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Supplier diversity and segregation</w:t>
            </w:r>
          </w:p>
        </w:tc>
      </w:tr>
    </w:tbl>
    <w:p>
      <w:pPr>
        <w:spacing w:after="120"/>
      </w:pPr>
    </w:p>
    <w:p>
      <w:pPr>
        <w:pStyle w:val="Heading1"/>
        <w:pageBreakBefore/>
      </w:pPr>
      <w:r>
        <w:t xml:space="preserve">Case Study: Kensington and Chelsea Shared-IT Cyber Attack</w:t>
      </w:r>
    </w:p>
    <w:p>
      <w:pPr>
        <w:pStyle w:val="Heading2"/>
      </w:pPr>
      <w:r>
        <w:t xml:space="preserve">Why this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39"/>
        <w:gridCol w:w="1484"/>
        <w:gridCol w:w="1383"/>
        <w:gridCol w:w="1141"/>
        <w:gridCol w:w="1295"/>
        <w:gridCol w:w="1601"/>
        <w:gridCol w:w="1663"/>
      </w:tblGrid>
      <w:tr>
        <w:trPr>
          <w:cantSplit/>
          <w:tblHeader/>
        </w:trPr>
        <w:tc>
          <w:tcPr>
            <w:tcW w:type="dxa" w:w="1339"/>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5"/>
                <w:szCs w:val="15"/>
              </w:rPr>
              <w:t xml:space="preserve">Candidate</w:t>
            </w:r>
          </w:p>
        </w:tc>
        <w:tc>
          <w:tcPr>
            <w:tcW w:type="dxa" w:w="1484"/>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5"/>
                <w:szCs w:val="15"/>
              </w:rPr>
              <w:t xml:space="preserve">Recency</w:t>
            </w:r>
          </w:p>
        </w:tc>
        <w:tc>
          <w:tcPr>
            <w:tcW w:type="dxa" w:w="1383"/>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5"/>
                <w:szCs w:val="15"/>
              </w:rPr>
              <w:t xml:space="preserve">Sector relevance</w:t>
            </w:r>
          </w:p>
        </w:tc>
        <w:tc>
          <w:tcPr>
            <w:tcW w:type="dxa" w:w="1141"/>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5"/>
                <w:szCs w:val="15"/>
              </w:rPr>
              <w:t xml:space="preserve">Causal clarity</w:t>
            </w:r>
          </w:p>
        </w:tc>
        <w:tc>
          <w:tcPr>
            <w:tcW w:type="dxa" w:w="1295"/>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5"/>
                <w:szCs w:val="15"/>
              </w:rPr>
              <w:t xml:space="preserve">Disclosed outcome</w:t>
            </w:r>
          </w:p>
        </w:tc>
        <w:tc>
          <w:tcPr>
            <w:tcW w:type="dxa" w:w="1601"/>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5"/>
                <w:szCs w:val="15"/>
              </w:rPr>
              <w:t xml:space="preserve">Evidence quality</w:t>
            </w:r>
          </w:p>
        </w:tc>
        <w:tc>
          <w:tcPr>
            <w:tcW w:type="dxa" w:w="1663"/>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5"/>
                <w:szCs w:val="15"/>
              </w:rPr>
              <w:t xml:space="preserve">Decision</w:t>
            </w:r>
          </w:p>
        </w:tc>
      </w:tr>
      <w:tr>
        <w:trPr>
          <w:cantSplit/>
          <w:tblHeader w:val="false"/>
        </w:trPr>
        <w:tc>
          <w:tcPr>
            <w:tcW w:type="dxa" w:w="133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Femern Link Contractors</w:t>
            </w:r>
          </w:p>
        </w:tc>
        <w:tc>
          <w:tcPr>
            <w:tcW w:type="dxa" w:w="148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October 2026</w:t>
            </w:r>
          </w:p>
        </w:tc>
        <w:tc>
          <w:tcPr>
            <w:tcW w:type="dxa" w:w="138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Highest</w:t>
            </w:r>
          </w:p>
        </w:tc>
        <w:tc>
          <w:tcPr>
            <w:tcW w:type="dxa" w:w="114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Low (one to two days of evidence)</w:t>
            </w:r>
          </w:p>
        </w:tc>
        <w:tc>
          <w:tcPr>
            <w:tcW w:type="dxa" w:w="129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None</w:t>
            </w:r>
          </w:p>
        </w:tc>
        <w:tc>
          <w:tcPr>
            <w:tcW w:type="dxa" w:w="160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Owner statement plus media</w:t>
            </w:r>
          </w:p>
        </w:tc>
        <w:tc>
          <w:tcPr>
            <w:tcW w:type="dxa" w:w="166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Monitor for next edition</w:t>
            </w:r>
          </w:p>
        </w:tc>
      </w:tr>
      <w:tr>
        <w:trPr>
          <w:cantSplit/>
          <w:tblHeader w:val="false"/>
        </w:trPr>
        <w:tc>
          <w:tcPr>
            <w:tcW w:type="dxa" w:w="133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RBKC shared-IT attack</w:t>
            </w:r>
          </w:p>
        </w:tc>
        <w:tc>
          <w:tcPr>
            <w:tcW w:type="dxa" w:w="148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November 2025 to September 2026</w:t>
            </w:r>
          </w:p>
        </w:tc>
        <w:tc>
          <w:tcPr>
            <w:tcW w:type="dxa" w:w="138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High (public project owner)</w:t>
            </w:r>
          </w:p>
        </w:tc>
        <w:tc>
          <w:tcPr>
            <w:tcW w:type="dxa" w:w="114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Medium-high</w:t>
            </w:r>
          </w:p>
        </w:tc>
        <w:tc>
          <w:tcPr>
            <w:tcW w:type="dxa" w:w="129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Cost, durations, auditor finding</w:t>
            </w:r>
          </w:p>
        </w:tc>
        <w:tc>
          <w:tcPr>
            <w:tcW w:type="dxa" w:w="160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Multiple Tier 1 records</w:t>
            </w:r>
          </w:p>
        </w:tc>
        <w:tc>
          <w:tcPr>
            <w:tcW w:type="dxa" w:w="166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Selected</w:t>
            </w:r>
          </w:p>
        </w:tc>
      </w:tr>
      <w:tr>
        <w:trPr>
          <w:cantSplit/>
          <w:tblHeader w:val="false"/>
        </w:trPr>
        <w:tc>
          <w:tcPr>
            <w:tcW w:type="dxa" w:w="133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Miljödata</w:t>
            </w:r>
          </w:p>
        </w:tc>
        <w:tc>
          <w:tcPr>
            <w:tcW w:type="dxa" w:w="148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August 2025; fine September 2026</w:t>
            </w:r>
          </w:p>
        </w:tc>
        <w:tc>
          <w:tcPr>
            <w:tcW w:type="dxa" w:w="138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High (public-owner supplier)</w:t>
            </w:r>
          </w:p>
        </w:tc>
        <w:tc>
          <w:tcPr>
            <w:tcW w:type="dxa" w:w="114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Medium</w:t>
            </w:r>
          </w:p>
        </w:tc>
        <w:tc>
          <w:tcPr>
            <w:tcW w:type="dxa" w:w="129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Fine, people affected</w:t>
            </w:r>
          </w:p>
        </w:tc>
        <w:tc>
          <w:tcPr>
            <w:tcW w:type="dxa" w:w="160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Tier 1 regulator</w:t>
            </w:r>
          </w:p>
        </w:tc>
        <w:tc>
          <w:tcPr>
            <w:tcW w:type="dxa" w:w="166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Covered in Chapters 2 and 4</w:t>
            </w:r>
          </w:p>
        </w:tc>
      </w:tr>
      <w:tr>
        <w:trPr>
          <w:cantSplit/>
          <w:tblHeader w:val="false"/>
        </w:trPr>
        <w:tc>
          <w:tcPr>
            <w:tcW w:type="dxa" w:w="133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Minnesota water OT</w:t>
            </w:r>
          </w:p>
        </w:tc>
        <w:tc>
          <w:tcPr>
            <w:tcW w:type="dxa" w:w="148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July 2026</w:t>
            </w:r>
          </w:p>
        </w:tc>
        <w:tc>
          <w:tcPr>
            <w:tcW w:type="dxa" w:w="138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Medium-high</w:t>
            </w:r>
          </w:p>
        </w:tc>
        <w:tc>
          <w:tcPr>
            <w:tcW w:type="dxa" w:w="114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Medium</w:t>
            </w:r>
          </w:p>
        </w:tc>
        <w:tc>
          <w:tcPr>
            <w:tcW w:type="dxa" w:w="129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No cost</w:t>
            </w:r>
          </w:p>
        </w:tc>
        <w:tc>
          <w:tcPr>
            <w:tcW w:type="dxa" w:w="160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Tier 1 state</w:t>
            </w:r>
          </w:p>
        </w:tc>
        <w:tc>
          <w:tcPr>
            <w:tcW w:type="dxa" w:w="166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Covered in Chapters 2 and 4</w:t>
            </w:r>
          </w:p>
        </w:tc>
      </w:tr>
      <w:tr>
        <w:trPr>
          <w:cantSplit/>
          <w:tblHeader w:val="false"/>
        </w:trPr>
        <w:tc>
          <w:tcPr>
            <w:tcW w:type="dxa" w:w="133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SANKO TECHNO</w:t>
            </w:r>
          </w:p>
        </w:tc>
        <w:tc>
          <w:tcPr>
            <w:tcW w:type="dxa" w:w="148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August 2026</w:t>
            </w:r>
          </w:p>
        </w:tc>
        <w:tc>
          <w:tcPr>
            <w:tcW w:type="dxa" w:w="138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Medium</w:t>
            </w:r>
          </w:p>
        </w:tc>
        <w:tc>
          <w:tcPr>
            <w:tcW w:type="dxa" w:w="114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Low</w:t>
            </w:r>
          </w:p>
        </w:tc>
        <w:tc>
          <w:tcPr>
            <w:tcW w:type="dxa" w:w="129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None yet</w:t>
            </w:r>
          </w:p>
        </w:tc>
        <w:tc>
          <w:tcPr>
            <w:tcW w:type="dxa" w:w="160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Tier 1 disclosure</w:t>
            </w:r>
          </w:p>
        </w:tc>
        <w:tc>
          <w:tcPr>
            <w:tcW w:type="dxa" w:w="166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5"/>
                <w:szCs w:val="15"/>
              </w:rPr>
              <w:t xml:space="preserve">Covered in Chapter 2</w:t>
            </w:r>
          </w:p>
        </w:tc>
      </w:tr>
    </w:tbl>
    <w:p>
      <w:pPr>
        <w:spacing w:after="120"/>
      </w:pPr>
    </w:p>
    <w:p>
      <w:pPr>
        <w:spacing w:after="140"/>
      </w:pPr>
      <w:r>
        <w:t xml:space="preserve">[RBKC - Incident summary and recovery plans][5] [RBKC - Cyber attack recovery update March 2026][6] [RBKC - Audit and Transparency Committee pack September 2026][7] [Femern A/S - FLC cyber incident notice][1] Judgement: RBKC is the only in-period case combining Tier 1 chronology, disclosed cost, external auditor findings and service-level restoration dates. Public-sector owners commission and approve construction and repairs, and their planning and payment functions are inputs to contractor operations.</w:t>
      </w:r>
    </w:p>
    <w:p>
      <w:pPr>
        <w:pStyle w:val="Heading2"/>
      </w:pPr>
      <w:r>
        <w:t xml:space="preserve">Timeline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55"/>
        <w:gridCol w:w="8051"/>
      </w:tblGrid>
      <w:tr>
        <w:trPr>
          <w:cantSplit/>
          <w:tblHeader/>
        </w:trPr>
        <w:tc>
          <w:tcPr>
            <w:tcW w:type="dxa" w:w="1855"/>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Date</w:t>
            </w:r>
          </w:p>
        </w:tc>
        <w:tc>
          <w:tcPr>
            <w:tcW w:type="dxa" w:w="8051"/>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Event (Observed)</w:t>
            </w:r>
          </w:p>
        </w:tc>
      </w:tr>
      <w:tr>
        <w:trPr>
          <w:cantSplit/>
          <w:tblHeader w:val="false"/>
        </w:trPr>
        <w:tc>
          <w:tcPr>
            <w:tcW w:type="dxa" w:w="185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24 November 2025</w:t>
            </w:r>
          </w:p>
        </w:tc>
        <w:tc>
          <w:tcPr>
            <w:tcW w:type="dxa" w:w="805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Unusual activity detected; emergency arrangements and Gold command invoked; systems isolated</w:t>
            </w:r>
          </w:p>
        </w:tc>
      </w:tr>
      <w:tr>
        <w:trPr>
          <w:cantSplit/>
          <w:tblHeader w:val="false"/>
        </w:trPr>
        <w:tc>
          <w:tcPr>
            <w:tcW w:type="dxa" w:w="185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27 November 2025</w:t>
            </w:r>
          </w:p>
        </w:tc>
        <w:tc>
          <w:tcPr>
            <w:tcW w:type="dxa" w:w="805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ICO notified; residents informed on 28 November</w:t>
            </w:r>
          </w:p>
        </w:tc>
      </w:tr>
      <w:tr>
        <w:trPr>
          <w:cantSplit/>
          <w:tblHeader w:val="false"/>
        </w:trPr>
        <w:tc>
          <w:tcPr>
            <w:tcW w:type="dxa" w:w="185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18 December 2025</w:t>
            </w:r>
          </w:p>
        </w:tc>
        <w:tc>
          <w:tcPr>
            <w:tcW w:type="dxa" w:w="805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Westminster confirms data copied from the shared environment hosted by RBKC; Hammersmith and Fulham reports no evidence of its own compromise</w:t>
            </w:r>
          </w:p>
        </w:tc>
      </w:tr>
      <w:tr>
        <w:trPr>
          <w:cantSplit/>
          <w:tblHeader w:val="false"/>
        </w:trPr>
        <w:tc>
          <w:tcPr>
            <w:tcW w:type="dxa" w:w="185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22 December 2025</w:t>
            </w:r>
          </w:p>
        </w:tc>
        <w:tc>
          <w:tcPr>
            <w:tcW w:type="dxa" w:w="805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Further ICO notification</w:t>
            </w:r>
          </w:p>
        </w:tc>
      </w:tr>
      <w:tr>
        <w:trPr>
          <w:cantSplit/>
          <w:tblHeader w:val="false"/>
        </w:trPr>
        <w:tc>
          <w:tcPr>
            <w:tcW w:type="dxa" w:w="185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13 January 2026</w:t>
            </w:r>
          </w:p>
        </w:tc>
        <w:tc>
          <w:tcPr>
            <w:tcW w:type="dxa" w:w="805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Leadership decision report: containment to mid-January; phased reopening January to summer 2026</w:t>
            </w:r>
          </w:p>
        </w:tc>
      </w:tr>
      <w:tr>
        <w:trPr>
          <w:cantSplit/>
          <w:tblHeader w:val="false"/>
        </w:trPr>
        <w:tc>
          <w:tcPr>
            <w:tcW w:type="dxa" w:w="185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January-March 2026</w:t>
            </w:r>
          </w:p>
        </w:tc>
        <w:tc>
          <w:tcPr>
            <w:tcW w:type="dxa" w:w="805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Phased reopening of systems; finance and HR system (Oracle) back in service by the March 2026 report</w:t>
            </w:r>
          </w:p>
        </w:tc>
      </w:tr>
      <w:tr>
        <w:trPr>
          <w:cantSplit/>
          <w:tblHeader w:val="false"/>
        </w:trPr>
        <w:tc>
          <w:tcPr>
            <w:tcW w:type="dxa" w:w="185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9 March 2026</w:t>
            </w:r>
          </w:p>
        </w:tc>
        <w:tc>
          <w:tcPr>
            <w:tcW w:type="dxa" w:w="805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Planning and land-search system returns, with backlog plan</w:t>
            </w:r>
          </w:p>
        </w:tc>
      </w:tr>
      <w:tr>
        <w:trPr>
          <w:cantSplit/>
          <w:tblHeader w:val="false"/>
        </w:trPr>
        <w:tc>
          <w:tcPr>
            <w:tcW w:type="dxa" w:w="185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March 2026</w:t>
            </w:r>
          </w:p>
        </w:tc>
        <w:tc>
          <w:tcPr>
            <w:tcW w:type="dxa" w:w="805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Over 150 live issues remain, down from more than 500 at peak</w:t>
            </w:r>
          </w:p>
        </w:tc>
      </w:tr>
      <w:tr>
        <w:trPr>
          <w:cantSplit/>
          <w:tblHeader w:val="false"/>
        </w:trPr>
        <w:tc>
          <w:tcPr>
            <w:tcW w:type="dxa" w:w="185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Early June 2026</w:t>
            </w:r>
          </w:p>
        </w:tc>
        <w:tc>
          <w:tcPr>
            <w:tcW w:type="dxa" w:w="805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Revenues and benefits services restart after about six months</w:t>
            </w:r>
          </w:p>
        </w:tc>
      </w:tr>
      <w:tr>
        <w:trPr>
          <w:cantSplit/>
          <w:tblHeader w:val="false"/>
        </w:trPr>
        <w:tc>
          <w:tcPr>
            <w:tcW w:type="dxa" w:w="185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3 July 2026</w:t>
            </w:r>
          </w:p>
        </w:tc>
        <w:tc>
          <w:tcPr>
            <w:tcW w:type="dxa" w:w="805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Council tax and business rates system still not fully running</w:t>
            </w:r>
          </w:p>
        </w:tc>
      </w:tr>
      <w:tr>
        <w:trPr>
          <w:cantSplit/>
          <w:tblHeader w:val="false"/>
        </w:trPr>
        <w:tc>
          <w:tcPr>
            <w:tcW w:type="dxa" w:w="1855"/>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28 September 2026</w:t>
            </w:r>
          </w:p>
        </w:tc>
        <w:tc>
          <w:tcPr>
            <w:tcW w:type="dxa" w:w="805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Audit committee: GBP 1.2 million costs in 2025/26; auditor significant governance weakness</w:t>
            </w:r>
          </w:p>
        </w:tc>
      </w:tr>
    </w:tbl>
    <w:p>
      <w:pPr>
        <w:spacing w:after="120"/>
      </w:pPr>
    </w:p>
    <w:p>
      <w:pPr>
        <w:spacing w:after="140"/>
      </w:pPr>
      <w:r>
        <w:t xml:space="preserve">[RBKC - Incident summary and recovery plans][5] [RBKC - Cyber security attack FAQs][8] [Local Government Lawyer - London boroughs data copied][9] [RBKC - Cyber attack recovery update March 2026][6] [RBKC - Audit and Transparency Committee pack September 2026][7] The timeline is compiled from council decision and committee reports, the council FAQ and statements relayed by specialist media (Observed).</w:t>
      </w:r>
    </w:p>
    <w:p>
      <w:pPr>
        <w:pStyle w:val="Heading2"/>
      </w:pPr>
      <w:r>
        <w:t xml:space="preserve">Disruption mechanism</w:t>
      </w:r>
    </w:p>
    <w:p>
      <w:pPr>
        <w:spacing w:after="140"/>
      </w:pPr>
      <w:r>
        <w:t xml:space="preserve">[RBKC - Audit and Transparency Committee pack September 2026][7] The external auditor states that the incident was caused by human error and that recovery was affected by the fragmented nature of the council's ICT estate (Observed). [RBKC - Cyber security attack FAQs][8] The council reports that data was copied and taken but not encrypted by the attacker (Observed). [RBKC - Cyber attack recovery update March 2026][6] A technical and operational review of causes is under way and the initial access method has not been published (Observed). Interpretation: the disruption was driven largely by containment - isolating and rebuilding shared systems - rather than by attacker encryption.</w:t>
      </w:r>
    </w:p>
    <w:p>
      <w:pPr>
        <w:pStyle w:val="Heading2"/>
      </w:pPr>
      <w:r>
        <w:t xml:space="preserve">Operational consequences</w:t>
      </w:r>
    </w:p>
    <w:p>
      <w:pPr>
        <w:pStyle w:val="ListParagraph"/>
        <w:numPr>
          <w:ilvl w:val="0"/>
          <w:numId w:val="2"/>
        </w:numPr>
        <w:spacing w:after="80"/>
      </w:pPr>
      <w:r>
        <w:t xml:space="preserve">[RBKC - Incident summary and recovery plans][5] [RBKC - Cyber attack recovery update March 2026][6] Planning and licensing applications could not be processed normally; the Earls Court and Lots Road planning committees proceeded only because preparatory work was complete (Observed).</w:t>
      </w:r>
    </w:p>
    <w:p>
      <w:pPr>
        <w:pStyle w:val="ListParagraph"/>
        <w:numPr>
          <w:ilvl w:val="0"/>
          <w:numId w:val="2"/>
        </w:numPr>
        <w:spacing w:after="80"/>
      </w:pPr>
      <w:r>
        <w:t xml:space="preserve">[RBKC - Incident summary and recovery plans][5] Repairs reporting ran on backup systems with call volumes below normal, raising the risk that urgent issues went unreported (Observed).</w:t>
      </w:r>
    </w:p>
    <w:p>
      <w:pPr>
        <w:pStyle w:val="ListParagraph"/>
        <w:numPr>
          <w:ilvl w:val="0"/>
          <w:numId w:val="2"/>
        </w:numPr>
        <w:spacing w:after="80"/>
      </w:pPr>
      <w:r>
        <w:t xml:space="preserve">[RBKC - Incident summary and recovery plans][5] Core financial systems were constrained; a controlled payment run processed more than GBP 5 million of existing invoices (Observed).</w:t>
      </w:r>
    </w:p>
    <w:p>
      <w:pPr>
        <w:pStyle w:val="ListParagraph"/>
        <w:numPr>
          <w:ilvl w:val="0"/>
          <w:numId w:val="2"/>
        </w:numPr>
        <w:spacing w:after="80"/>
      </w:pPr>
      <w:r>
        <w:t xml:space="preserve">[RBKC - Cyber security attack FAQs][8] Revenues and benefits were unavailable from November 2025 to early June 2026 and 2026/27 council tax bills were issued late (Observed).</w:t>
      </w:r>
    </w:p>
    <w:p>
      <w:pPr>
        <w:pStyle w:val="Heading2"/>
      </w:pPr>
      <w:r>
        <w:t xml:space="preserve">Public financial and regulatory outcomes</w:t>
      </w:r>
    </w:p>
    <w:p>
      <w:pPr>
        <w:spacing w:after="140"/>
      </w:pPr>
      <w:r>
        <w:t xml:space="preserve">[RBKC - Audit and Transparency Committee pack September 2026][7] Costs of GBP 1.2 million were recognised in 2025/26; further digital investment is likely to be funded from reserves; the auditor raised a key recommendation on a significant governance weakness (Observed). [RBKC - Incident summary and recovery plans][5] The ICO was notified twice and the Metropolitan Police leads the criminal investigation; no regulatory penalty had been published by the evidence cut-off (Observed).</w:t>
      </w:r>
    </w:p>
    <w:p>
      <w:pPr>
        <w:pStyle w:val="Heading2"/>
      </w:pPr>
      <w:r>
        <w:t xml:space="preserve">Recovery constraints</w:t>
      </w:r>
    </w:p>
    <w:p>
      <w:pPr>
        <w:spacing w:after="140"/>
      </w:pPr>
      <w:r>
        <w:t xml:space="preserve">[RBKC - Cyber attack recovery update March 2026][6] Revenues and benefits ran on legacy technology that slowed restoration; automated financial functions still needed remediation in March 2026; longer-term rebuild is phased to summer 2027 (Observed). Interpretation: shared, legacy-heavy estates extend recovery from weeks to months even without attacker encryption.</w:t>
      </w:r>
    </w:p>
    <w:p>
      <w:pPr>
        <w:pStyle w:val="Heading2"/>
      </w:pPr>
      <w:r>
        <w:t xml:space="preserve">Sector lesson and read-across</w:t>
      </w:r>
    </w:p>
    <w:p>
      <w:pPr>
        <w:pStyle w:val="ListParagraph"/>
        <w:numPr>
          <w:ilvl w:val="0"/>
          <w:numId w:val="2"/>
        </w:numPr>
        <w:spacing w:after="80"/>
      </w:pPr>
      <w:r>
        <w:t xml:space="preserve">For public owners: shared-service models concentrate risk across authorities; recovery planning should prioritise planning consent, repairs ordering and supplier payment because these drive contractor activity.</w:t>
      </w:r>
    </w:p>
    <w:p>
      <w:pPr>
        <w:pStyle w:val="ListParagraph"/>
        <w:numPr>
          <w:ilvl w:val="0"/>
          <w:numId w:val="2"/>
        </w:numPr>
        <w:spacing w:after="80"/>
      </w:pPr>
      <w:r>
        <w:t xml:space="preserve">For contractors: owner-side outages can delay consents and instructions for months and constrain payment processing; contracts and cash-flow planning should treat owner digital disruption as a foreseeable event.</w:t>
      </w:r>
    </w:p>
    <w:p>
      <w:pPr>
        <w:pStyle w:val="ListParagraph"/>
        <w:numPr>
          <w:ilvl w:val="0"/>
          <w:numId w:val="2"/>
        </w:numPr>
        <w:spacing w:after="80"/>
      </w:pPr>
      <w:r>
        <w:t xml:space="preserve">For banks (generic): public-counterparty payment delays can surface as working-capital stress in contractors that are otherwise performing.</w:t>
      </w:r>
    </w:p>
    <w:p>
      <w:pPr>
        <w:pStyle w:val="Heading2"/>
      </w:pPr>
      <w:r>
        <w:t xml:space="preserve">What the case does not establish</w:t>
      </w:r>
    </w:p>
    <w:p>
      <w:pPr>
        <w:spacing w:after="140"/>
      </w:pPr>
      <w:r>
        <w:t xml:space="preserve">The case does not show any quantified effect on contractors, any project delay attributable to the attack, the initial access vector, the insurance recovery, or that the same pattern applies to private contractors. It concerns one UK local-authority shared service.</w:t>
      </w:r>
    </w:p>
    <w:p>
      <w:pPr>
        <w:pStyle w:val="Heading1"/>
        <w:pageBreakBefore/>
      </w:pPr>
      <w:r>
        <w:t xml:space="preserve">Systemic Dependencies &amp; Regulatory Outlook</w:t>
      </w:r>
    </w:p>
    <w:p>
      <w:pPr>
        <w:pStyle w:val="Heading2"/>
      </w:pPr>
      <w:r>
        <w:t xml:space="preserve">Dependency chains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60"/>
        <w:gridCol w:w="1206"/>
        <w:gridCol w:w="3710"/>
        <w:gridCol w:w="3130"/>
      </w:tblGrid>
      <w:tr>
        <w:trPr>
          <w:cantSplit/>
          <w:tblHeader/>
        </w:trPr>
        <w:tc>
          <w:tcPr>
            <w:tcW w:type="dxa" w:w="1860"/>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Dependency</w:t>
            </w:r>
          </w:p>
        </w:tc>
        <w:tc>
          <w:tcPr>
            <w:tcW w:type="dxa" w:w="1206"/>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Evidence</w:t>
            </w:r>
          </w:p>
        </w:tc>
        <w:tc>
          <w:tcPr>
            <w:tcW w:type="dxa" w:w="3710"/>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Concentration pathway</w:t>
            </w:r>
          </w:p>
        </w:tc>
        <w:tc>
          <w:tcPr>
            <w:tcW w:type="dxa" w:w="3130"/>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Who is exposed</w:t>
            </w:r>
          </w:p>
        </w:tc>
      </w:tr>
      <w:tr>
        <w:trPr>
          <w:cantSplit/>
          <w:tblHeader w:val="false"/>
        </w:trPr>
        <w:tc>
          <w:tcPr>
            <w:tcW w:type="dxa" w:w="186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Public-owner shared IT services</w:t>
            </w:r>
          </w:p>
        </w:tc>
        <w:tc>
          <w:tcPr>
            <w:tcW w:type="dxa" w:w="120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RBKC tri-borough estate</w:t>
            </w:r>
          </w:p>
        </w:tc>
        <w:tc>
          <w:tcPr>
            <w:tcW w:type="dxa" w:w="371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One estate failure stops planning, repairs and payments for several authorities</w:t>
            </w:r>
          </w:p>
        </w:tc>
        <w:tc>
          <w:tcPr>
            <w:tcW w:type="dxa" w:w="313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Contractors awaiting consents, instructions and payment</w:t>
            </w:r>
          </w:p>
        </w:tc>
      </w:tr>
      <w:tr>
        <w:trPr>
          <w:cantSplit/>
          <w:tblHeader w:val="false"/>
        </w:trPr>
        <w:tc>
          <w:tcPr>
            <w:tcW w:type="dxa" w:w="186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Public-sector SaaS suppliers</w:t>
            </w:r>
          </w:p>
        </w:tc>
        <w:tc>
          <w:tcPr>
            <w:tcW w:type="dxa" w:w="120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Miljödata</w:t>
            </w:r>
          </w:p>
        </w:tc>
        <w:tc>
          <w:tcPr>
            <w:tcW w:type="dxa" w:w="371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One supplier serves most municipalities in a country</w:t>
            </w:r>
          </w:p>
        </w:tc>
        <w:tc>
          <w:tcPr>
            <w:tcW w:type="dxa" w:w="313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Owners, their contractors and data subjects</w:t>
            </w:r>
          </w:p>
        </w:tc>
      </w:tr>
      <w:tr>
        <w:trPr>
          <w:cantSplit/>
          <w:tblHeader w:val="false"/>
        </w:trPr>
        <w:tc>
          <w:tcPr>
            <w:tcW w:type="dxa" w:w="186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Construction-management SaaS and cloud fourth party</w:t>
            </w:r>
          </w:p>
        </w:tc>
        <w:tc>
          <w:tcPr>
            <w:tcW w:type="dxa" w:w="120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Procore 10-K</w:t>
            </w:r>
          </w:p>
        </w:tc>
        <w:tc>
          <w:tcPr>
            <w:tcW w:type="dxa" w:w="371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Platform hosted on third-party cloud serves 17,850 customers</w:t>
            </w:r>
          </w:p>
        </w:tc>
        <w:tc>
          <w:tcPr>
            <w:tcW w:type="dxa" w:w="313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Contractors, owners and consultants sharing project data</w:t>
            </w:r>
          </w:p>
        </w:tc>
      </w:tr>
      <w:tr>
        <w:trPr>
          <w:cantSplit/>
          <w:tblHeader w:val="false"/>
        </w:trPr>
        <w:tc>
          <w:tcPr>
            <w:tcW w:type="dxa" w:w="186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Materials and equipment suppliers</w:t>
            </w:r>
          </w:p>
        </w:tc>
        <w:tc>
          <w:tcPr>
            <w:tcW w:type="dxa" w:w="120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Dragos Q2 2026; SANKO TECHNO</w:t>
            </w:r>
          </w:p>
        </w:tc>
        <w:tc>
          <w:tcPr>
            <w:tcW w:type="dxa" w:w="371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Repeatedly targeted supplier tier with ERP dependence</w:t>
            </w:r>
          </w:p>
        </w:tc>
        <w:tc>
          <w:tcPr>
            <w:tcW w:type="dxa" w:w="313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Programmes relying on just-in-time materials</w:t>
            </w:r>
          </w:p>
        </w:tc>
      </w:tr>
      <w:tr>
        <w:trPr>
          <w:cantSplit/>
          <w:tblHeader w:val="false"/>
        </w:trPr>
        <w:tc>
          <w:tcPr>
            <w:tcW w:type="dxa" w:w="186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Public-works OT</w:t>
            </w:r>
          </w:p>
        </w:tc>
        <w:tc>
          <w:tcPr>
            <w:tcW w:type="dxa" w:w="120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Minnesota 2026; Bremanger 2025</w:t>
            </w:r>
          </w:p>
        </w:tc>
        <w:tc>
          <w:tcPr>
            <w:tcW w:type="dxa" w:w="371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Many small operators with internet-exposed controllers</w:t>
            </w:r>
          </w:p>
        </w:tc>
        <w:tc>
          <w:tcPr>
            <w:tcW w:type="dxa" w:w="313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Owners, operators and their maintenance contractors</w:t>
            </w:r>
          </w:p>
        </w:tc>
      </w:tr>
      <w:tr>
        <w:trPr>
          <w:cantSplit/>
          <w:tblHeader w:val="false"/>
        </w:trPr>
        <w:tc>
          <w:tcPr>
            <w:tcW w:type="dxa" w:w="186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Payment chains</w:t>
            </w:r>
          </w:p>
        </w:tc>
        <w:tc>
          <w:tcPr>
            <w:tcW w:type="dxa" w:w="120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AFP 2025</w:t>
            </w:r>
          </w:p>
        </w:tc>
        <w:tc>
          <w:tcPr>
            <w:tcW w:type="dxa" w:w="371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High-value stage payments and supplier email</w:t>
            </w:r>
          </w:p>
        </w:tc>
        <w:tc>
          <w:tcPr>
            <w:tcW w:type="dxa" w:w="313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Contractors, subcontractors and their banks</w:t>
            </w:r>
          </w:p>
        </w:tc>
      </w:tr>
    </w:tbl>
    <w:p>
      <w:pPr>
        <w:spacing w:after="120"/>
      </w:pPr>
    </w:p>
    <w:p>
      <w:pPr>
        <w:spacing w:after="140"/>
      </w:pPr>
      <w:r>
        <w:t xml:space="preserve">[RBKC - Incident summary and recovery plans][5] [IMY - Sanction against Miljödata][10] [Procore - FY2025 Form 10-K][27] [Dragos - Industrial ransomware Q2 2026][20] [MNIT - Continued response, 30 July 2026][13] [AFP - Construction BEC alert][26] Dependencies are named only where a source supports them; market shares of construction platforms are not publicly available and no platform is described as dominant (Observed and Judgement).</w:t>
      </w:r>
    </w:p>
    <w:p>
      <w:pPr>
        <w:pStyle w:val="Heading2"/>
      </w:pPr>
      <w:r>
        <w:t xml:space="preserve">Regulatory perimeter (status and dates)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73"/>
        <w:gridCol w:w="1061"/>
        <w:gridCol w:w="1133"/>
        <w:gridCol w:w="2280"/>
        <w:gridCol w:w="1672"/>
        <w:gridCol w:w="2587"/>
      </w:tblGrid>
      <w:tr>
        <w:trPr>
          <w:cantSplit/>
          <w:tblHeader/>
        </w:trPr>
        <w:tc>
          <w:tcPr>
            <w:tcW w:type="dxa" w:w="1173"/>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Regime</w:t>
            </w:r>
          </w:p>
        </w:tc>
        <w:tc>
          <w:tcPr>
            <w:tcW w:type="dxa" w:w="1061"/>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Jurisdiction</w:t>
            </w:r>
          </w:p>
        </w:tc>
        <w:tc>
          <w:tcPr>
            <w:tcW w:type="dxa" w:w="1133"/>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Legal status</w:t>
            </w:r>
          </w:p>
        </w:tc>
        <w:tc>
          <w:tcPr>
            <w:tcW w:type="dxa" w:w="2280"/>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Obligation type</w:t>
            </w:r>
          </w:p>
        </w:tc>
        <w:tc>
          <w:tcPr>
            <w:tcW w:type="dxa" w:w="1672"/>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Key dates</w:t>
            </w:r>
          </w:p>
        </w:tc>
        <w:tc>
          <w:tcPr>
            <w:tcW w:type="dxa" w:w="2587"/>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Applicability to B&amp;PW</w:t>
            </w:r>
          </w:p>
        </w:tc>
      </w:tr>
      <w:tr>
        <w:trPr>
          <w:cantSplit/>
          <w:tblHeader w:val="false"/>
        </w:trPr>
        <w:tc>
          <w:tcPr>
            <w:tcW w:type="dxa" w:w="117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NIS2 Directive (EU) 2022/2555</w:t>
            </w:r>
          </w:p>
        </w:tc>
        <w:tc>
          <w:tcPr>
            <w:tcW w:type="dxa" w:w="106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EU</w:t>
            </w:r>
          </w:p>
        </w:tc>
        <w:tc>
          <w:tcPr>
            <w:tcW w:type="dxa" w:w="113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Binding directive via national law</w:t>
            </w:r>
          </w:p>
        </w:tc>
        <w:tc>
          <w:tcPr>
            <w:tcW w:type="dxa" w:w="22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Risk management, supply-chain security, 24h/72h/one-month reporting, management accountability</w:t>
            </w:r>
          </w:p>
        </w:tc>
        <w:tc>
          <w:tcPr>
            <w:tcW w:type="dxa" w:w="167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In force 16 January 2023; transposition 17 October 2024; applies 18 October 2024</w:t>
            </w:r>
          </w:p>
        </w:tc>
        <w:tc>
          <w:tcPr>
            <w:tcW w:type="dxa" w:w="258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Construction not listed; owners in water, waste water, road transport and public administration are in scope and flow duties to contractors</w:t>
            </w:r>
          </w:p>
        </w:tc>
      </w:tr>
      <w:tr>
        <w:trPr>
          <w:cantSplit/>
          <w:tblHeader w:val="false"/>
        </w:trPr>
        <w:tc>
          <w:tcPr>
            <w:tcW w:type="dxa" w:w="117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NIS2 infringement referral</w:t>
            </w:r>
          </w:p>
        </w:tc>
        <w:tc>
          <w:tcPr>
            <w:tcW w:type="dxa" w:w="106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EU</w:t>
            </w:r>
          </w:p>
        </w:tc>
        <w:tc>
          <w:tcPr>
            <w:tcW w:type="dxa" w:w="113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Enforcement action</w:t>
            </w:r>
          </w:p>
        </w:tc>
        <w:tc>
          <w:tcPr>
            <w:tcW w:type="dxa" w:w="22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Court referral with penalty request</w:t>
            </w:r>
          </w:p>
        </w:tc>
        <w:tc>
          <w:tcPr>
            <w:tcW w:type="dxa" w:w="167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8 July 2026 (IE, ES, FR, NL)</w:t>
            </w:r>
          </w:p>
        </w:tc>
        <w:tc>
          <w:tcPr>
            <w:tcW w:type="dxa" w:w="258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Uneven national obligations for multinational contractors</w:t>
            </w:r>
          </w:p>
        </w:tc>
      </w:tr>
      <w:tr>
        <w:trPr>
          <w:cantSplit/>
          <w:tblHeader w:val="false"/>
        </w:trPr>
        <w:tc>
          <w:tcPr>
            <w:tcW w:type="dxa" w:w="117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CER Directive (EU) 2022/2557</w:t>
            </w:r>
          </w:p>
        </w:tc>
        <w:tc>
          <w:tcPr>
            <w:tcW w:type="dxa" w:w="106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EU</w:t>
            </w:r>
          </w:p>
        </w:tc>
        <w:tc>
          <w:tcPr>
            <w:tcW w:type="dxa" w:w="113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Binding directive via national law</w:t>
            </w:r>
          </w:p>
        </w:tc>
        <w:tc>
          <w:tcPr>
            <w:tcW w:type="dxa" w:w="22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Resilience measures by designated entities</w:t>
            </w:r>
          </w:p>
        </w:tc>
        <w:tc>
          <w:tcPr>
            <w:tcW w:type="dxa" w:w="167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Transposition 17 October 2024; identification by 17 July 2026</w:t>
            </w:r>
          </w:p>
        </w:tc>
        <w:tc>
          <w:tcPr>
            <w:tcW w:type="dxa" w:w="258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Construction not listed; designated operators procure construction and maintenance</w:t>
            </w:r>
          </w:p>
        </w:tc>
      </w:tr>
      <w:tr>
        <w:trPr>
          <w:cantSplit/>
          <w:tblHeader w:val="false"/>
        </w:trPr>
        <w:tc>
          <w:tcPr>
            <w:tcW w:type="dxa" w:w="117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Cyber Resilience Act (EU) 2024/2847</w:t>
            </w:r>
          </w:p>
        </w:tc>
        <w:tc>
          <w:tcPr>
            <w:tcW w:type="dxa" w:w="106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EU</w:t>
            </w:r>
          </w:p>
        </w:tc>
        <w:tc>
          <w:tcPr>
            <w:tcW w:type="dxa" w:w="113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Directly applicable regulation</w:t>
            </w:r>
          </w:p>
        </w:tc>
        <w:tc>
          <w:tcPr>
            <w:tcW w:type="dxa" w:w="22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Product security; manufacturer reporting</w:t>
            </w:r>
          </w:p>
        </w:tc>
        <w:tc>
          <w:tcPr>
            <w:tcW w:type="dxa" w:w="167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In force 10 December 2024; reporting from 11 September 2026; main obligations 11 December 2027</w:t>
            </w:r>
          </w:p>
        </w:tc>
        <w:tc>
          <w:tcPr>
            <w:tcW w:type="dxa" w:w="258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Building-automation, connected site products and software vendors</w:t>
            </w:r>
          </w:p>
        </w:tc>
      </w:tr>
      <w:tr>
        <w:trPr>
          <w:cantSplit/>
          <w:tblHeader w:val="false"/>
        </w:trPr>
        <w:tc>
          <w:tcPr>
            <w:tcW w:type="dxa" w:w="117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GDPR (EU) 2016/679</w:t>
            </w:r>
          </w:p>
        </w:tc>
        <w:tc>
          <w:tcPr>
            <w:tcW w:type="dxa" w:w="106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EU/EEA</w:t>
            </w:r>
          </w:p>
        </w:tc>
        <w:tc>
          <w:tcPr>
            <w:tcW w:type="dxa" w:w="113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Directly applicable regulation</w:t>
            </w:r>
          </w:p>
        </w:tc>
        <w:tc>
          <w:tcPr>
            <w:tcW w:type="dxa" w:w="22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Security, processor terms, 72-hour notification</w:t>
            </w:r>
          </w:p>
        </w:tc>
        <w:tc>
          <w:tcPr>
            <w:tcW w:type="dxa" w:w="167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Applies 25 May 2018</w:t>
            </w:r>
          </w:p>
        </w:tc>
        <w:tc>
          <w:tcPr>
            <w:tcW w:type="dxa" w:w="258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All contractors, owners and suppliers processing personal data</w:t>
            </w:r>
          </w:p>
        </w:tc>
      </w:tr>
      <w:tr>
        <w:trPr>
          <w:cantSplit/>
          <w:tblHeader w:val="false"/>
        </w:trPr>
        <w:tc>
          <w:tcPr>
            <w:tcW w:type="dxa" w:w="117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Public Procurement Act proposal COM(2026) 590</w:t>
            </w:r>
          </w:p>
        </w:tc>
        <w:tc>
          <w:tcPr>
            <w:tcW w:type="dxa" w:w="106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EU</w:t>
            </w:r>
          </w:p>
        </w:tc>
        <w:tc>
          <w:tcPr>
            <w:tcW w:type="dxa" w:w="113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Proposal, no legal effect</w:t>
            </w:r>
          </w:p>
        </w:tc>
        <w:tc>
          <w:tcPr>
            <w:tcW w:type="dxa" w:w="22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Proposed cybersecurity, security-of-supply and resilience conditions</w:t>
            </w:r>
          </w:p>
        </w:tc>
        <w:tc>
          <w:tcPr>
            <w:tcW w:type="dxa" w:w="167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Proposed 9 September 2026</w:t>
            </w:r>
          </w:p>
        </w:tc>
        <w:tc>
          <w:tcPr>
            <w:tcW w:type="dxa" w:w="258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Future public-works tenders and contract performance</w:t>
            </w:r>
          </w:p>
        </w:tc>
      </w:tr>
      <w:tr>
        <w:trPr>
          <w:cantSplit/>
          <w:tblHeader w:val="false"/>
        </w:trPr>
        <w:tc>
          <w:tcPr>
            <w:tcW w:type="dxa" w:w="117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UK NIS Regulations 2018</w:t>
            </w:r>
          </w:p>
        </w:tc>
        <w:tc>
          <w:tcPr>
            <w:tcW w:type="dxa" w:w="106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UK</w:t>
            </w:r>
          </w:p>
        </w:tc>
        <w:tc>
          <w:tcPr>
            <w:tcW w:type="dxa" w:w="113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Binding regulation</w:t>
            </w:r>
          </w:p>
        </w:tc>
        <w:tc>
          <w:tcPr>
            <w:tcW w:type="dxa" w:w="22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Operators of essential services and digital providers</w:t>
            </w:r>
          </w:p>
        </w:tc>
        <w:tc>
          <w:tcPr>
            <w:tcW w:type="dxa" w:w="167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In force 10 May 2018</w:t>
            </w:r>
          </w:p>
        </w:tc>
        <w:tc>
          <w:tcPr>
            <w:tcW w:type="dxa" w:w="258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Construction not in scope; exposure via operator clients</w:t>
            </w:r>
          </w:p>
        </w:tc>
      </w:tr>
      <w:tr>
        <w:trPr>
          <w:cantSplit/>
          <w:tblHeader w:val="false"/>
        </w:trPr>
        <w:tc>
          <w:tcPr>
            <w:tcW w:type="dxa" w:w="117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Cyber Security and Resilience Bill</w:t>
            </w:r>
          </w:p>
        </w:tc>
        <w:tc>
          <w:tcPr>
            <w:tcW w:type="dxa" w:w="106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UK</w:t>
            </w:r>
          </w:p>
        </w:tc>
        <w:tc>
          <w:tcPr>
            <w:tcW w:type="dxa" w:w="113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Bill in House of Lords</w:t>
            </w:r>
          </w:p>
        </w:tc>
        <w:tc>
          <w:tcPr>
            <w:tcW w:type="dxa" w:w="22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Proposed expansion to managed service providers and designated suppliers</w:t>
            </w:r>
          </w:p>
        </w:tc>
        <w:tc>
          <w:tcPr>
            <w:tcW w:type="dxa" w:w="167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Introduced November 2025; Lords report stage October 2026</w:t>
            </w:r>
          </w:p>
        </w:tc>
        <w:tc>
          <w:tcPr>
            <w:tcW w:type="dxa" w:w="258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Could reach MSPs and suppliers serving regulated infrastructure</w:t>
            </w:r>
          </w:p>
        </w:tc>
      </w:tr>
      <w:tr>
        <w:trPr>
          <w:cantSplit/>
          <w:tblHeader w:val="false"/>
        </w:trPr>
        <w:tc>
          <w:tcPr>
            <w:tcW w:type="dxa" w:w="117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UK GDPR and Data Protection Act 2018</w:t>
            </w:r>
          </w:p>
        </w:tc>
        <w:tc>
          <w:tcPr>
            <w:tcW w:type="dxa" w:w="106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UK</w:t>
            </w:r>
          </w:p>
        </w:tc>
        <w:tc>
          <w:tcPr>
            <w:tcW w:type="dxa" w:w="113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Binding legislation</w:t>
            </w:r>
          </w:p>
        </w:tc>
        <w:tc>
          <w:tcPr>
            <w:tcW w:type="dxa" w:w="22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Data-protection duties and enforcement</w:t>
            </w:r>
          </w:p>
        </w:tc>
        <w:tc>
          <w:tcPr>
            <w:tcW w:type="dxa" w:w="167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Act dated 23 May 2018</w:t>
            </w:r>
          </w:p>
        </w:tc>
        <w:tc>
          <w:tcPr>
            <w:tcW w:type="dxa" w:w="258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All UK contractors and owners</w:t>
            </w:r>
          </w:p>
        </w:tc>
      </w:tr>
      <w:tr>
        <w:trPr>
          <w:cantSplit/>
          <w:tblHeader w:val="false"/>
        </w:trPr>
        <w:tc>
          <w:tcPr>
            <w:tcW w:type="dxa" w:w="117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PPN 014 Cyber Essentials</w:t>
            </w:r>
          </w:p>
        </w:tc>
        <w:tc>
          <w:tcPr>
            <w:tcW w:type="dxa" w:w="106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UK</w:t>
            </w:r>
          </w:p>
        </w:tc>
        <w:tc>
          <w:tcPr>
            <w:tcW w:type="dxa" w:w="113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Procurement policy (central government)</w:t>
            </w:r>
          </w:p>
        </w:tc>
        <w:tc>
          <w:tcPr>
            <w:tcW w:type="dxa" w:w="22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Cyber Essentials or equivalent for higher-risk contracts</w:t>
            </w:r>
          </w:p>
        </w:tc>
        <w:tc>
          <w:tcPr>
            <w:tcW w:type="dxa" w:w="167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Effective 24 February 2025</w:t>
            </w:r>
          </w:p>
        </w:tc>
        <w:tc>
          <w:tcPr>
            <w:tcW w:type="dxa" w:w="258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Suppliers to central government; optional for councils</w:t>
            </w:r>
          </w:p>
        </w:tc>
      </w:tr>
      <w:tr>
        <w:trPr>
          <w:cantSplit/>
          <w:tblHeader w:val="false"/>
        </w:trPr>
        <w:tc>
          <w:tcPr>
            <w:tcW w:type="dxa" w:w="117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Procurement Act 2023</w:t>
            </w:r>
          </w:p>
        </w:tc>
        <w:tc>
          <w:tcPr>
            <w:tcW w:type="dxa" w:w="106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UK (England, Wales, Northern Ireland)</w:t>
            </w:r>
          </w:p>
        </w:tc>
        <w:tc>
          <w:tcPr>
            <w:tcW w:type="dxa" w:w="113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Binding procurement regime</w:t>
            </w:r>
          </w:p>
        </w:tc>
        <w:tc>
          <w:tcPr>
            <w:tcW w:type="dxa" w:w="22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Procurement and contract management rules</w:t>
            </w:r>
          </w:p>
        </w:tc>
        <w:tc>
          <w:tcPr>
            <w:tcW w:type="dxa" w:w="167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Live 24 February 2025</w:t>
            </w:r>
          </w:p>
        </w:tc>
        <w:tc>
          <w:tcPr>
            <w:tcW w:type="dxa" w:w="258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Public owners procuring construction</w:t>
            </w:r>
          </w:p>
        </w:tc>
      </w:tr>
      <w:tr>
        <w:trPr>
          <w:cantSplit/>
          <w:tblHeader w:val="false"/>
        </w:trPr>
        <w:tc>
          <w:tcPr>
            <w:tcW w:type="dxa" w:w="117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SEC Form 8-K Item 1.05</w:t>
            </w:r>
          </w:p>
        </w:tc>
        <w:tc>
          <w:tcPr>
            <w:tcW w:type="dxa" w:w="1061"/>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US (comparative)</w:t>
            </w:r>
          </w:p>
        </w:tc>
        <w:tc>
          <w:tcPr>
            <w:tcW w:type="dxa" w:w="1133"/>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Binding for SEC registrants</w:t>
            </w:r>
          </w:p>
        </w:tc>
        <w:tc>
          <w:tcPr>
            <w:tcW w:type="dxa" w:w="22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Material incident disclosure within four business days of determination</w:t>
            </w:r>
          </w:p>
        </w:tc>
        <w:tc>
          <w:tcPr>
            <w:tcW w:type="dxa" w:w="167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Compliance from 18 December 2023</w:t>
            </w:r>
          </w:p>
        </w:tc>
        <w:tc>
          <w:tcPr>
            <w:tcW w:type="dxa" w:w="258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US-listed contractors, suppliers and platforms</w:t>
            </w:r>
          </w:p>
        </w:tc>
      </w:tr>
    </w:tbl>
    <w:p>
      <w:pPr>
        <w:spacing w:after="120"/>
      </w:pPr>
    </w:p>
    <w:p>
      <w:pPr>
        <w:spacing w:after="140"/>
      </w:pPr>
      <w:r>
        <w:t xml:space="preserve">[EUR-Lex - NIS2 Directive][32] [European Commission - NIS2 CJEU referral][33] [EUR-Lex - CER Directive][34] [EUR-Lex - Cyber Resilience Act][35] [European Commission - CRA reporting][36] [EUR-Lex - GDPR][37] [Council of the EU - Public Procurement Act proposal][38] [legislation.gov.uk - NIS Regulations 2018][41] [UK Parliament - Cyber Security and Resilience Bill][39] [QBE - UK construction project delivery release][19] [legislation.gov.uk - Data Protection Act 2018][46] [Cabinet Office - PPN 014 Cyber Essentials][40] [LGA - Procurement Act 2023 briefing][42] [SEC - Cyber incident disclosure guide][47] The table records legal status, obligation type and date basis from the primary instrument or official page for each regime (Observed). Interpretation: for most contractors, cyber obligations are contractual and data-protection obligations rather than direct sector regulation; the main in-period movements are CRA reporting, CER identification, the EU procurement proposal and NIS2 enforcement.</w:t>
      </w:r>
    </w:p>
    <w:p>
      <w:pPr>
        <w:pStyle w:val="Heading2"/>
      </w:pPr>
      <w:r>
        <w:t xml:space="preserve">Voluntary frameworks (not binding law)</w:t>
      </w:r>
    </w:p>
    <w:p>
      <w:pPr>
        <w:spacing w:after="140"/>
      </w:pPr>
      <w:r>
        <w:t xml:space="preserve">[ISO - ISO 19650-5:2020][43] ISO 19650-5:2020 sets a security-minded approach to information management for built assets and building information modelling (BIM) and was confirmed after systematic review in October 2025 (Observed). [NIST - CSF 2.0][44] The NIST Cybersecurity Framework 2.0 (February 2024) is a voluntary outcomes framework that includes supply-chain risk management (Observed). ISO/IEC 27001 and 27002 (information security management and controls), ISO/IEC 27036 (supplier relationships), IEC 62443 (industrial automation and control systems security), CISA guidance and CIS Controls are used in Chapter 7 only as reference vocabularies; this run did not review their texts and makes no claim about their specific requirements.</w:t>
      </w:r>
    </w:p>
    <w:p>
      <w:pPr>
        <w:pStyle w:val="Heading2"/>
      </w:pPr>
      <w:r>
        <w:t xml:space="preserve">Forward monitoring horizon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9"/>
        <w:gridCol w:w="8227"/>
      </w:tblGrid>
      <w:tr>
        <w:trPr>
          <w:cantSplit/>
          <w:tblHeader/>
        </w:trPr>
        <w:tc>
          <w:tcPr>
            <w:tcW w:type="dxa" w:w="1679"/>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Date or window</w:t>
            </w:r>
          </w:p>
        </w:tc>
        <w:tc>
          <w:tcPr>
            <w:tcW w:type="dxa" w:w="8227"/>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Item to monitor</w:t>
            </w:r>
          </w:p>
        </w:tc>
      </w:tr>
      <w:tr>
        <w:trPr>
          <w:cantSplit/>
          <w:tblHeader w:val="false"/>
        </w:trPr>
        <w:tc>
          <w:tcPr>
            <w:tcW w:type="dxa" w:w="167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October-December 2026</w:t>
            </w:r>
          </w:p>
        </w:tc>
        <w:tc>
          <w:tcPr>
            <w:tcW w:type="dxa" w:w="822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Femern A/S and FLC disclosures on cause, duration and programme effect</w:t>
            </w:r>
          </w:p>
        </w:tc>
      </w:tr>
      <w:tr>
        <w:trPr>
          <w:cantSplit/>
          <w:tblHeader w:val="false"/>
        </w:trPr>
        <w:tc>
          <w:tcPr>
            <w:tcW w:type="dxa" w:w="167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Late 2026</w:t>
            </w:r>
          </w:p>
        </w:tc>
        <w:tc>
          <w:tcPr>
            <w:tcW w:type="dxa" w:w="822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UK Cyber Security and Resilience Bill: Lords report stage outcome and Royal Assent</w:t>
            </w:r>
          </w:p>
        </w:tc>
      </w:tr>
      <w:tr>
        <w:trPr>
          <w:cantSplit/>
          <w:tblHeader w:val="false"/>
        </w:trPr>
        <w:tc>
          <w:tcPr>
            <w:tcW w:type="dxa" w:w="167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2026-2027</w:t>
            </w:r>
          </w:p>
        </w:tc>
        <w:tc>
          <w:tcPr>
            <w:tcW w:type="dxa" w:w="822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Court of Justice proceedings on NIS2 transposition; national scope extensions</w:t>
            </w:r>
          </w:p>
        </w:tc>
      </w:tr>
      <w:tr>
        <w:trPr>
          <w:cantSplit/>
          <w:tblHeader w:val="false"/>
        </w:trPr>
        <w:tc>
          <w:tcPr>
            <w:tcW w:type="dxa" w:w="167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2026-2027</w:t>
            </w:r>
          </w:p>
        </w:tc>
        <w:tc>
          <w:tcPr>
            <w:tcW w:type="dxa" w:w="822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Council and Parliament positions on the EU Public Procurement Act proposal</w:t>
            </w:r>
          </w:p>
        </w:tc>
      </w:tr>
      <w:tr>
        <w:trPr>
          <w:cantSplit/>
          <w:tblHeader w:val="false"/>
        </w:trPr>
        <w:tc>
          <w:tcPr>
            <w:tcW w:type="dxa" w:w="167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From 11 September 2026</w:t>
            </w:r>
          </w:p>
        </w:tc>
        <w:tc>
          <w:tcPr>
            <w:tcW w:type="dxa" w:w="822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CRA vulnerability and incident reports from building-automation and site-equipment manufacturers</w:t>
            </w:r>
          </w:p>
        </w:tc>
      </w:tr>
      <w:tr>
        <w:trPr>
          <w:cantSplit/>
          <w:tblHeader w:val="false"/>
        </w:trPr>
        <w:tc>
          <w:tcPr>
            <w:tcW w:type="dxa" w:w="167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Ongoing</w:t>
            </w:r>
          </w:p>
        </w:tc>
        <w:tc>
          <w:tcPr>
            <w:tcW w:type="dxa" w:w="822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IMY reviews of Miljödata customers; RBKC root-cause review and any ICO outcome</w:t>
            </w:r>
          </w:p>
        </w:tc>
      </w:tr>
      <w:tr>
        <w:trPr>
          <w:cantSplit/>
          <w:tblHeader w:val="false"/>
        </w:trPr>
        <w:tc>
          <w:tcPr>
            <w:tcW w:type="dxa" w:w="167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Ongoing</w:t>
            </w:r>
          </w:p>
        </w:tc>
        <w:tc>
          <w:tcPr>
            <w:tcW w:type="dxa" w:w="8227"/>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State and agency alerts on internet-exposed OT in public works</w:t>
            </w:r>
          </w:p>
        </w:tc>
      </w:tr>
    </w:tbl>
    <w:p>
      <w:pPr>
        <w:spacing w:after="120"/>
      </w:pPr>
    </w:p>
    <w:p>
      <w:pPr>
        <w:pStyle w:val="Heading1"/>
        <w:pageBreakBefore/>
      </w:pPr>
      <w:r>
        <w:t xml:space="preserve">Mitigation Strategies &amp; Security Framework</w:t>
      </w:r>
    </w:p>
    <w:p>
      <w:pPr>
        <w:spacing w:after="140"/>
      </w:pPr>
      <w:r>
        <w:t xml:space="preserve">Actions below are sector-informed management priorities derived from the public evidence. They are not statements about any institution's control gaps. Role types are generic.</w:t>
      </w:r>
    </w:p>
    <w:p>
      <w:pPr>
        <w:pStyle w:val="Heading2"/>
      </w:pPr>
      <w:r>
        <w:t xml:space="preserve">Evidence-linked action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79"/>
        <w:gridCol w:w="2224"/>
        <w:gridCol w:w="1334"/>
        <w:gridCol w:w="2919"/>
        <w:gridCol w:w="1074"/>
        <w:gridCol w:w="1076"/>
      </w:tblGrid>
      <w:tr>
        <w:trPr>
          <w:cantSplit/>
          <w:tblHeader/>
        </w:trPr>
        <w:tc>
          <w:tcPr>
            <w:tcW w:type="dxa" w:w="1279"/>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Exposure</w:t>
            </w:r>
          </w:p>
        </w:tc>
        <w:tc>
          <w:tcPr>
            <w:tcW w:type="dxa" w:w="2224"/>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Operational vulnerability</w:t>
            </w:r>
          </w:p>
        </w:tc>
        <w:tc>
          <w:tcPr>
            <w:tcW w:type="dxa" w:w="1334"/>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Control objective</w:t>
            </w:r>
          </w:p>
        </w:tc>
        <w:tc>
          <w:tcPr>
            <w:tcW w:type="dxa" w:w="2919"/>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Action or challenge question</w:t>
            </w:r>
          </w:p>
        </w:tc>
        <w:tc>
          <w:tcPr>
            <w:tcW w:type="dxa" w:w="1074"/>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Role type</w:t>
            </w:r>
          </w:p>
        </w:tc>
        <w:tc>
          <w:tcPr>
            <w:tcW w:type="dxa" w:w="1076"/>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6"/>
                <w:szCs w:val="16"/>
              </w:rPr>
              <w:t xml:space="preserve">Horizon</w:t>
            </w:r>
          </w:p>
        </w:tc>
      </w:tr>
      <w:tr>
        <w:trPr>
          <w:cantSplit/>
          <w:tblHeader w:val="false"/>
        </w:trPr>
        <w:tc>
          <w:tcPr>
            <w:tcW w:type="dxa" w:w="127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A1 Shared owner and platform dependencies</w:t>
            </w:r>
          </w:p>
        </w:tc>
        <w:tc>
          <w:tcPr>
            <w:tcW w:type="dxa" w:w="222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Single shared estates and SaaS platforms</w:t>
            </w:r>
          </w:p>
        </w:tc>
        <w:tc>
          <w:tcPr>
            <w:tcW w:type="dxa" w:w="133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Know and limit concentration</w:t>
            </w:r>
          </w:p>
        </w:tc>
        <w:tc>
          <w:tcPr>
            <w:tcW w:type="dxa" w:w="291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Map which public owners, platforms and cloud providers the largest sector counterparties depend on; ask for evidence of tested offline continuity</w:t>
            </w:r>
          </w:p>
        </w:tc>
        <w:tc>
          <w:tcPr>
            <w:tcW w:type="dxa" w:w="107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1LoD sector risk owner</w:t>
            </w:r>
          </w:p>
        </w:tc>
        <w:tc>
          <w:tcPr>
            <w:tcW w:type="dxa" w:w="107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0-6 months</w:t>
            </w:r>
          </w:p>
        </w:tc>
      </w:tr>
      <w:tr>
        <w:trPr>
          <w:cantSplit/>
          <w:tblHeader w:val="false"/>
        </w:trPr>
        <w:tc>
          <w:tcPr>
            <w:tcW w:type="dxa" w:w="127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A2 Identity and remote access</w:t>
            </w:r>
          </w:p>
        </w:tc>
        <w:tc>
          <w:tcPr>
            <w:tcW w:type="dxa" w:w="222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Phishing, VPNs without MFA, unpatched edge and backup servers</w:t>
            </w:r>
          </w:p>
        </w:tc>
        <w:tc>
          <w:tcPr>
            <w:tcW w:type="dxa" w:w="133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Prevent initial access and fast exfiltration</w:t>
            </w:r>
          </w:p>
        </w:tc>
        <w:tc>
          <w:tcPr>
            <w:tcW w:type="dxa" w:w="291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Challenge whether counterparty assessments cover MFA on all remote access and patching of edge and backup systems</w:t>
            </w:r>
          </w:p>
        </w:tc>
        <w:tc>
          <w:tcPr>
            <w:tcW w:type="dxa" w:w="107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1LoD third-party risk</w:t>
            </w:r>
          </w:p>
        </w:tc>
        <w:tc>
          <w:tcPr>
            <w:tcW w:type="dxa" w:w="107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0-3 months</w:t>
            </w:r>
          </w:p>
        </w:tc>
      </w:tr>
      <w:tr>
        <w:trPr>
          <w:cantSplit/>
          <w:tblHeader w:val="false"/>
        </w:trPr>
        <w:tc>
          <w:tcPr>
            <w:tcW w:type="dxa" w:w="127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A3 OT and site systems</w:t>
            </w:r>
          </w:p>
        </w:tc>
        <w:tc>
          <w:tcPr>
            <w:tcW w:type="dxa" w:w="222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Internet-exposed PLCs, HMIs, access control and BMS</w:t>
            </w:r>
          </w:p>
        </w:tc>
        <w:tc>
          <w:tcPr>
            <w:tcW w:type="dxa" w:w="133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Segregate and harden OT</w:t>
            </w:r>
          </w:p>
        </w:tc>
        <w:tc>
          <w:tcPr>
            <w:tcW w:type="dxa" w:w="291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Ask public-works and major-contractor counterparties for OT inventory, removal of internet exposure and IT/OT segregation evidence</w:t>
            </w:r>
          </w:p>
        </w:tc>
        <w:tc>
          <w:tcPr>
            <w:tcW w:type="dxa" w:w="107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1LoD operational resilience</w:t>
            </w:r>
          </w:p>
        </w:tc>
        <w:tc>
          <w:tcPr>
            <w:tcW w:type="dxa" w:w="107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3-12 months</w:t>
            </w:r>
          </w:p>
        </w:tc>
      </w:tr>
      <w:tr>
        <w:trPr>
          <w:cantSplit/>
          <w:tblHeader w:val="false"/>
        </w:trPr>
        <w:tc>
          <w:tcPr>
            <w:tcW w:type="dxa" w:w="127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A4 Payment-chain fraud</w:t>
            </w:r>
          </w:p>
        </w:tc>
        <w:tc>
          <w:tcPr>
            <w:tcW w:type="dxa" w:w="222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Supplier email compromise and bank-detail changes</w:t>
            </w:r>
          </w:p>
        </w:tc>
        <w:tc>
          <w:tcPr>
            <w:tcW w:type="dxa" w:w="133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Stop payment redirection</w:t>
            </w:r>
          </w:p>
        </w:tc>
        <w:tc>
          <w:tcPr>
            <w:tcW w:type="dxa" w:w="291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Require out-of-band verification of payment-detail changes in contractor payment flows and monitor BEC typologies</w:t>
            </w:r>
          </w:p>
        </w:tc>
        <w:tc>
          <w:tcPr>
            <w:tcW w:type="dxa" w:w="107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1LoD payments and fraud</w:t>
            </w:r>
          </w:p>
        </w:tc>
        <w:tc>
          <w:tcPr>
            <w:tcW w:type="dxa" w:w="107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0-3 months</w:t>
            </w:r>
          </w:p>
        </w:tc>
      </w:tr>
      <w:tr>
        <w:trPr>
          <w:cantSplit/>
          <w:tblHeader w:val="false"/>
        </w:trPr>
        <w:tc>
          <w:tcPr>
            <w:tcW w:type="dxa" w:w="127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A5 Contractual flow-down</w:t>
            </w:r>
          </w:p>
        </w:tc>
        <w:tc>
          <w:tcPr>
            <w:tcW w:type="dxa" w:w="222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Owner duties under NIS2, CER and procurement rules</w:t>
            </w:r>
          </w:p>
        </w:tc>
        <w:tc>
          <w:tcPr>
            <w:tcW w:type="dxa" w:w="133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Clear cyber terms and notification</w:t>
            </w:r>
          </w:p>
        </w:tc>
        <w:tc>
          <w:tcPr>
            <w:tcW w:type="dxa" w:w="291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Check that lending and guarantee documentation for major projects considers incident notification and cyber clauses</w:t>
            </w:r>
          </w:p>
        </w:tc>
        <w:tc>
          <w:tcPr>
            <w:tcW w:type="dxa" w:w="107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1LoD credit and legal</w:t>
            </w:r>
          </w:p>
        </w:tc>
        <w:tc>
          <w:tcPr>
            <w:tcW w:type="dxa" w:w="107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6-12 months</w:t>
            </w:r>
          </w:p>
        </w:tc>
      </w:tr>
      <w:tr>
        <w:trPr>
          <w:cantSplit/>
          <w:tblHeader w:val="false"/>
        </w:trPr>
        <w:tc>
          <w:tcPr>
            <w:tcW w:type="dxa" w:w="127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A6 Programme-time-sensitive operations</w:t>
            </w:r>
          </w:p>
        </w:tc>
        <w:tc>
          <w:tcPr>
            <w:tcW w:type="dxa" w:w="222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Sequenced marine, tunnelling and plant works</w:t>
            </w:r>
          </w:p>
        </w:tc>
        <w:tc>
          <w:tcPr>
            <w:tcW w:type="dxa" w:w="133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Tested manual fallback</w:t>
            </w:r>
          </w:p>
        </w:tc>
        <w:tc>
          <w:tcPr>
            <w:tcW w:type="dxa" w:w="2919"/>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Ask whether major infrastructure counterparties test manual fallback for access, positioning and scheduling</w:t>
            </w:r>
          </w:p>
        </w:tc>
        <w:tc>
          <w:tcPr>
            <w:tcW w:type="dxa" w:w="1074"/>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1LoD sector risk owner</w:t>
            </w:r>
          </w:p>
        </w:tc>
        <w:tc>
          <w:tcPr>
            <w:tcW w:type="dxa" w:w="107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6"/>
                <w:szCs w:val="16"/>
              </w:rPr>
              <w:t xml:space="preserve">6-12 months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86"/>
        <w:gridCol w:w="2620"/>
        <w:gridCol w:w="2318"/>
        <w:gridCol w:w="3282"/>
      </w:tblGrid>
      <w:tr>
        <w:trPr>
          <w:cantSplit/>
          <w:tblHeader/>
        </w:trPr>
        <w:tc>
          <w:tcPr>
            <w:tcW w:type="dxa" w:w="1686"/>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Exposure</w:t>
            </w:r>
          </w:p>
        </w:tc>
        <w:tc>
          <w:tcPr>
            <w:tcW w:type="dxa" w:w="2620"/>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Evidence of completion</w:t>
            </w:r>
          </w:p>
        </w:tc>
        <w:tc>
          <w:tcPr>
            <w:tcW w:type="dxa" w:w="2318"/>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Residual dependency</w:t>
            </w:r>
          </w:p>
        </w:tc>
        <w:tc>
          <w:tcPr>
            <w:tcW w:type="dxa" w:w="3282"/>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External monitoring trigger</w:t>
            </w:r>
          </w:p>
        </w:tc>
      </w:tr>
      <w:tr>
        <w:trPr>
          <w:cantSplit/>
          <w:tblHeader w:val="false"/>
        </w:trPr>
        <w:tc>
          <w:tcPr>
            <w:tcW w:type="dxa" w:w="168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A1 Shared owner and platform dependencies</w:t>
            </w:r>
          </w:p>
        </w:tc>
        <w:tc>
          <w:tcPr>
            <w:tcW w:type="dxa" w:w="262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Dependency map covering top sector counterparties; documented continuity test results</w:t>
            </w:r>
          </w:p>
        </w:tc>
        <w:tc>
          <w:tcPr>
            <w:tcW w:type="dxa" w:w="231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Platforms and cloud regions outside counterparty control</w:t>
            </w:r>
          </w:p>
        </w:tc>
        <w:tc>
          <w:tcPr>
            <w:tcW w:type="dxa" w:w="328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Provider outage or breach notice; regional cloud impairment</w:t>
            </w:r>
          </w:p>
        </w:tc>
      </w:tr>
      <w:tr>
        <w:trPr>
          <w:cantSplit/>
          <w:tblHeader w:val="false"/>
        </w:trPr>
        <w:tc>
          <w:tcPr>
            <w:tcW w:type="dxa" w:w="168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A2 Identity and remote access</w:t>
            </w:r>
          </w:p>
        </w:tc>
        <w:tc>
          <w:tcPr>
            <w:tcW w:type="dxa" w:w="262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Assessment evidence covering MFA and edge patching</w:t>
            </w:r>
          </w:p>
        </w:tc>
        <w:tc>
          <w:tcPr>
            <w:tcW w:type="dxa" w:w="231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Zero-day exploitation of edge devices</w:t>
            </w:r>
          </w:p>
        </w:tc>
        <w:tc>
          <w:tcPr>
            <w:tcW w:type="dxa" w:w="328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New joint advisory naming edge or backup vulnerabilities</w:t>
            </w:r>
          </w:p>
        </w:tc>
      </w:tr>
      <w:tr>
        <w:trPr>
          <w:cantSplit/>
          <w:tblHeader w:val="false"/>
        </w:trPr>
        <w:tc>
          <w:tcPr>
            <w:tcW w:type="dxa" w:w="168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A3 OT and site systems</w:t>
            </w:r>
          </w:p>
        </w:tc>
        <w:tc>
          <w:tcPr>
            <w:tcW w:type="dxa" w:w="262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OT inventory and segregation attestations</w:t>
            </w:r>
          </w:p>
        </w:tc>
        <w:tc>
          <w:tcPr>
            <w:tcW w:type="dxa" w:w="231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Legacy controllers that cannot be patched</w:t>
            </w:r>
          </w:p>
        </w:tc>
        <w:tc>
          <w:tcPr>
            <w:tcW w:type="dxa" w:w="328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Agency alert on internet-exposed OT; hacktivist OT claims</w:t>
            </w:r>
          </w:p>
        </w:tc>
      </w:tr>
      <w:tr>
        <w:trPr>
          <w:cantSplit/>
          <w:tblHeader w:val="false"/>
        </w:trPr>
        <w:tc>
          <w:tcPr>
            <w:tcW w:type="dxa" w:w="168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A4 Payment-chain fraud</w:t>
            </w:r>
          </w:p>
        </w:tc>
        <w:tc>
          <w:tcPr>
            <w:tcW w:type="dxa" w:w="262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Verification procedure and fraud metrics</w:t>
            </w:r>
          </w:p>
        </w:tc>
        <w:tc>
          <w:tcPr>
            <w:tcW w:type="dxa" w:w="231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Compromised legitimate supplier accounts</w:t>
            </w:r>
          </w:p>
        </w:tc>
        <w:tc>
          <w:tcPr>
            <w:tcW w:type="dxa" w:w="328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Law-enforcement BEC alert naming construction</w:t>
            </w:r>
          </w:p>
        </w:tc>
      </w:tr>
      <w:tr>
        <w:trPr>
          <w:cantSplit/>
          <w:tblHeader w:val="false"/>
        </w:trPr>
        <w:tc>
          <w:tcPr>
            <w:tcW w:type="dxa" w:w="168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A5 Contractual flow-down</w:t>
            </w:r>
          </w:p>
        </w:tc>
        <w:tc>
          <w:tcPr>
            <w:tcW w:type="dxa" w:w="262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Documentation review record</w:t>
            </w:r>
          </w:p>
        </w:tc>
        <w:tc>
          <w:tcPr>
            <w:tcW w:type="dxa" w:w="231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National transposition differences</w:t>
            </w:r>
          </w:p>
        </w:tc>
        <w:tc>
          <w:tcPr>
            <w:tcW w:type="dxa" w:w="328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CJEU outcome; procurement regulation adoption; UK bill Royal Assent</w:t>
            </w:r>
          </w:p>
        </w:tc>
      </w:tr>
      <w:tr>
        <w:trPr>
          <w:cantSplit/>
          <w:tblHeader w:val="false"/>
        </w:trPr>
        <w:tc>
          <w:tcPr>
            <w:tcW w:type="dxa" w:w="168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A6 Programme-time-sensitive operations</w:t>
            </w:r>
          </w:p>
        </w:tc>
        <w:tc>
          <w:tcPr>
            <w:tcW w:type="dxa" w:w="262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Fallback test records</w:t>
            </w:r>
          </w:p>
        </w:tc>
        <w:tc>
          <w:tcPr>
            <w:tcW w:type="dxa" w:w="2318"/>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Weather and marine windows</w:t>
            </w:r>
          </w:p>
        </w:tc>
        <w:tc>
          <w:tcPr>
            <w:tcW w:type="dxa" w:w="3282"/>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Contractor incident notice on a major programme</w:t>
            </w:r>
          </w:p>
        </w:tc>
      </w:tr>
    </w:tbl>
    <w:p>
      <w:pPr>
        <w:spacing w:after="120"/>
      </w:pPr>
    </w:p>
    <w:p>
      <w:pPr>
        <w:spacing w:after="140"/>
      </w:pPr>
      <w:r>
        <w:t xml:space="preserve">[RBKC - Incident summary and recovery plans][5] [Procore - FY2025 Form 10-K][27] [CISA and partners - Akira advisory update][22] [ENISA - Threat Landscape 2025][23] [MNIT - Continued response, 30 July 2026][13] [QBE and Control Risks - From blueprints to breaches][18] [AFP - Construction BEC alert][26] [EUR-Lex - NIS2 Directive][32] [Council of the EU - Public Procurement Act proposal][38] [Femern A/S - FLC cyber incident notice][1] Each action links to an exposure evidenced in Chapters 2 to 6: A1 to the RBKC and Procore evidence; A2 to ENISA and the Akira advisory; A3 to Minnesota's recommended OT actions and QBE's segmentation finding; A4 to the AFP alert; A5 to NIS2 supply-chain duties and the procurement proposal; A6 to the Fehmarnbelt incident (Action).</w:t>
      </w:r>
    </w:p>
    <w:p>
      <w:pPr>
        <w:spacing w:after="140"/>
      </w:pPr>
      <w:r>
        <w:t xml:space="preserve">[MNIT - Continued response, 30 July 2026][13] Minnesota's recommended actions for water systems are directly reusable for public-works counterparties: identify internet-accessible OT and remove unnecessary access, replace default credentials, require MFA for remote access, separate OT from business networks, keep an OT inventory and offline backups, and test response plans (Observed).</w:t>
      </w:r>
    </w:p>
    <w:p>
      <w:pPr>
        <w:pStyle w:val="Heading2"/>
      </w:pPr>
      <w:r>
        <w:t xml:space="preserve">Framework reference mapping (voluntary)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66"/>
        <w:gridCol w:w="2980"/>
        <w:gridCol w:w="3860"/>
      </w:tblGrid>
      <w:tr>
        <w:trPr>
          <w:cantSplit/>
          <w:tblHeader/>
        </w:trPr>
        <w:tc>
          <w:tcPr>
            <w:tcW w:type="dxa" w:w="3066"/>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Action</w:t>
            </w:r>
          </w:p>
        </w:tc>
        <w:tc>
          <w:tcPr>
            <w:tcW w:type="dxa" w:w="2980"/>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NIST CSF 2.0 function</w:t>
            </w:r>
          </w:p>
        </w:tc>
        <w:tc>
          <w:tcPr>
            <w:tcW w:type="dxa" w:w="3860"/>
            <w:tcBorders>
              <w:top w:val="single" w:color="BFBFBF" w:sz="2"/>
              <w:left w:val="single" w:color="BFBFBF" w:sz="2"/>
              <w:bottom w:val="single" w:color="BFBFBF" w:sz="2"/>
              <w:right w:val="single" w:color="BFBFBF" w:sz="2"/>
            </w:tcBorders>
            <w:shd w:fill="00915E" w:color="auto" w:val="clear"/>
            <w:tcMar>
              <w:top w:type="dxa" w:w="60"/>
              <w:left w:type="dxa" w:w="80"/>
              <w:bottom w:type="dxa" w:w="60"/>
              <w:right w:type="dxa" w:w="80"/>
            </w:tcMar>
          </w:tcPr>
          <w:p>
            <w:r>
              <w:rPr>
                <w:b/>
                <w:bCs/>
                <w:color w:val="FFFFFF"/>
                <w:sz w:val="18"/>
                <w:szCs w:val="18"/>
              </w:rPr>
              <w:t xml:space="preserve">Other voluntary references</w:t>
            </w:r>
          </w:p>
        </w:tc>
      </w:tr>
      <w:tr>
        <w:trPr>
          <w:cantSplit/>
          <w:tblHeader w:val="false"/>
        </w:trPr>
        <w:tc>
          <w:tcPr>
            <w:tcW w:type="dxa" w:w="306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A1 Shared dependencies</w:t>
            </w:r>
          </w:p>
        </w:tc>
        <w:tc>
          <w:tcPr>
            <w:tcW w:type="dxa" w:w="29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Govern (supply-chain risk management) and Identify</w:t>
            </w:r>
          </w:p>
        </w:tc>
        <w:tc>
          <w:tcPr>
            <w:tcW w:type="dxa" w:w="386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ISO/IEC 27036; ISO 19650-5</w:t>
            </w:r>
          </w:p>
        </w:tc>
      </w:tr>
      <w:tr>
        <w:trPr>
          <w:cantSplit/>
          <w:tblHeader w:val="false"/>
        </w:trPr>
        <w:tc>
          <w:tcPr>
            <w:tcW w:type="dxa" w:w="306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A2 Identity and remote access</w:t>
            </w:r>
          </w:p>
        </w:tc>
        <w:tc>
          <w:tcPr>
            <w:tcW w:type="dxa" w:w="29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Protect</w:t>
            </w:r>
          </w:p>
        </w:tc>
        <w:tc>
          <w:tcPr>
            <w:tcW w:type="dxa" w:w="386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ISO/IEC 27001 and 27002; CIS Controls</w:t>
            </w:r>
          </w:p>
        </w:tc>
      </w:tr>
      <w:tr>
        <w:trPr>
          <w:cantSplit/>
          <w:tblHeader w:val="false"/>
        </w:trPr>
        <w:tc>
          <w:tcPr>
            <w:tcW w:type="dxa" w:w="306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A3 OT and site systems</w:t>
            </w:r>
          </w:p>
        </w:tc>
        <w:tc>
          <w:tcPr>
            <w:tcW w:type="dxa" w:w="29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Protect and Detect</w:t>
            </w:r>
          </w:p>
        </w:tc>
        <w:tc>
          <w:tcPr>
            <w:tcW w:type="dxa" w:w="386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IEC 62443; CISA OT guidance</w:t>
            </w:r>
          </w:p>
        </w:tc>
      </w:tr>
      <w:tr>
        <w:trPr>
          <w:cantSplit/>
          <w:tblHeader w:val="false"/>
        </w:trPr>
        <w:tc>
          <w:tcPr>
            <w:tcW w:type="dxa" w:w="306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A4 Payment-chain fraud</w:t>
            </w:r>
          </w:p>
        </w:tc>
        <w:tc>
          <w:tcPr>
            <w:tcW w:type="dxa" w:w="29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Protect and Detect</w:t>
            </w:r>
          </w:p>
        </w:tc>
        <w:tc>
          <w:tcPr>
            <w:tcW w:type="dxa" w:w="386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ISO/IEC 27002</w:t>
            </w:r>
          </w:p>
        </w:tc>
      </w:tr>
      <w:tr>
        <w:trPr>
          <w:cantSplit/>
          <w:tblHeader w:val="false"/>
        </w:trPr>
        <w:tc>
          <w:tcPr>
            <w:tcW w:type="dxa" w:w="306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A5 Contractual flow-down</w:t>
            </w:r>
          </w:p>
        </w:tc>
        <w:tc>
          <w:tcPr>
            <w:tcW w:type="dxa" w:w="29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Govern</w:t>
            </w:r>
          </w:p>
        </w:tc>
        <w:tc>
          <w:tcPr>
            <w:tcW w:type="dxa" w:w="386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ISO/IEC 27036</w:t>
            </w:r>
          </w:p>
        </w:tc>
      </w:tr>
      <w:tr>
        <w:trPr>
          <w:cantSplit/>
          <w:tblHeader w:val="false"/>
        </w:trPr>
        <w:tc>
          <w:tcPr>
            <w:tcW w:type="dxa" w:w="3066"/>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A6 Manual fallback</w:t>
            </w:r>
          </w:p>
        </w:tc>
        <w:tc>
          <w:tcPr>
            <w:tcW w:type="dxa" w:w="298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Respond and Recover</w:t>
            </w:r>
          </w:p>
        </w:tc>
        <w:tc>
          <w:tcPr>
            <w:tcW w:type="dxa" w:w="3860"/>
            <w:tcBorders>
              <w:top w:val="single" w:color="BFBFBF" w:sz="2"/>
              <w:left w:val="single" w:color="BFBFBF" w:sz="2"/>
              <w:bottom w:val="single" w:color="BFBFBF" w:sz="2"/>
              <w:right w:val="single" w:color="BFBFBF" w:sz="2"/>
            </w:tcBorders>
            <w:tcMar>
              <w:top w:type="dxa" w:w="60"/>
              <w:left w:type="dxa" w:w="80"/>
              <w:bottom w:type="dxa" w:w="60"/>
              <w:right w:type="dxa" w:w="80"/>
            </w:tcMar>
          </w:tcPr>
          <w:p>
            <w:r>
              <w:rPr>
                <w:sz w:val="18"/>
                <w:szCs w:val="18"/>
              </w:rPr>
              <w:t xml:space="preserve">ISO 19650-5 for information continuity</w:t>
            </w:r>
          </w:p>
        </w:tc>
      </w:tr>
    </w:tbl>
    <w:p>
      <w:pPr>
        <w:spacing w:after="120"/>
      </w:pPr>
    </w:p>
    <w:p>
      <w:pPr>
        <w:spacing w:after="140"/>
      </w:pPr>
      <w:r>
        <w:t xml:space="preserve">[NIST - CSF 2.0][44] [ISO - ISO 19650-5:2020][43] The mapping is an analyst reference aid; frameworks are voluntary and are not presented as legal requirements (Judgement).</w:t>
      </w:r>
    </w:p>
    <w:p>
      <w:pPr>
        <w:pStyle w:val="Heading2"/>
      </w:pPr>
      <w:r>
        <w:t xml:space="preserve">1LoD and Risk Committee challenge questions</w:t>
      </w:r>
    </w:p>
    <w:p>
      <w:pPr>
        <w:pStyle w:val="ListParagraph"/>
        <w:numPr>
          <w:ilvl w:val="0"/>
          <w:numId w:val="3"/>
        </w:numPr>
        <w:spacing w:after="80"/>
      </w:pPr>
      <w:r>
        <w:t xml:space="preserve">Which public owners, platforms and cloud regions do our largest B&amp;PW counterparties depend on, and what evidence shows they can certify and pay without them for 30 days?</w:t>
      </w:r>
    </w:p>
    <w:p>
      <w:pPr>
        <w:pStyle w:val="ListParagraph"/>
        <w:numPr>
          <w:ilvl w:val="0"/>
          <w:numId w:val="3"/>
        </w:numPr>
        <w:spacing w:after="80"/>
      </w:pPr>
      <w:r>
        <w:t xml:space="preserve">Do counterparty cyber assessments test MFA on all remote access and patching of edge and backup systems, the routes named in the 2025 Akira advisory?</w:t>
      </w:r>
    </w:p>
    <w:p>
      <w:pPr>
        <w:pStyle w:val="ListParagraph"/>
        <w:numPr>
          <w:ilvl w:val="0"/>
          <w:numId w:val="3"/>
        </w:numPr>
        <w:spacing w:after="80"/>
      </w:pPr>
      <w:r>
        <w:t xml:space="preserve">For public-works and infrastructure counterparties, is there evidence of OT inventory and segregation, given the Minnesota and Bremanger pathways?</w:t>
      </w:r>
    </w:p>
    <w:p>
      <w:pPr>
        <w:pStyle w:val="ListParagraph"/>
        <w:numPr>
          <w:ilvl w:val="0"/>
          <w:numId w:val="3"/>
        </w:numPr>
        <w:spacing w:after="80"/>
      </w:pPr>
      <w:r>
        <w:t xml:space="preserve">Are payment-detail changes in contractor payment flows confirmed out of band, and are construction BEC typologies monitored?</w:t>
      </w:r>
    </w:p>
    <w:p>
      <w:pPr>
        <w:pStyle w:val="ListParagraph"/>
        <w:numPr>
          <w:ilvl w:val="0"/>
          <w:numId w:val="3"/>
        </w:numPr>
        <w:spacing w:after="80"/>
      </w:pPr>
      <w:r>
        <w:t xml:space="preserve">How would a multi-month owner payment delay, as at RBKC, show up in contractor working-capital usage and early-warning indicators?</w:t>
      </w:r>
    </w:p>
    <w:p>
      <w:pPr>
        <w:pStyle w:val="ListParagraph"/>
        <w:numPr>
          <w:ilvl w:val="0"/>
          <w:numId w:val="3"/>
        </w:numPr>
        <w:spacing w:after="80"/>
      </w:pPr>
      <w:r>
        <w:t xml:space="preserve">Which major programmes have time-sensitive operations where a one-to-four-week outage would cross a contractual milestone?</w:t>
      </w:r>
    </w:p>
    <w:p>
      <w:pPr>
        <w:pStyle w:val="Heading2"/>
      </w:pPr>
      <w:r>
        <w:t xml:space="preserve">Monitoring triggers</w:t>
      </w:r>
    </w:p>
    <w:p>
      <w:pPr>
        <w:pStyle w:val="ListParagraph"/>
        <w:numPr>
          <w:ilvl w:val="0"/>
          <w:numId w:val="2"/>
        </w:numPr>
        <w:spacing w:after="80"/>
      </w:pPr>
      <w:r>
        <w:t xml:space="preserve">A contractor or owner incident notice on a major programme (next Fehmarnbelt disclosure).</w:t>
      </w:r>
    </w:p>
    <w:p>
      <w:pPr>
        <w:pStyle w:val="ListParagraph"/>
        <w:numPr>
          <w:ilvl w:val="0"/>
          <w:numId w:val="2"/>
        </w:numPr>
        <w:spacing w:after="80"/>
      </w:pPr>
      <w:r>
        <w:t xml:space="preserve">A regulator decision extending review to customers of a shared supplier (Miljödata pattern).</w:t>
      </w:r>
    </w:p>
    <w:p>
      <w:pPr>
        <w:pStyle w:val="ListParagraph"/>
        <w:numPr>
          <w:ilvl w:val="0"/>
          <w:numId w:val="2"/>
        </w:numPr>
        <w:spacing w:after="80"/>
      </w:pPr>
      <w:r>
        <w:t xml:space="preserve">A national or EU alert on internet-exposed OT in water or public works.</w:t>
      </w:r>
    </w:p>
    <w:p>
      <w:pPr>
        <w:pStyle w:val="ListParagraph"/>
        <w:numPr>
          <w:ilvl w:val="0"/>
          <w:numId w:val="2"/>
        </w:numPr>
        <w:spacing w:after="80"/>
      </w:pPr>
      <w:r>
        <w:t xml:space="preserve">Leak-site claims against building-materials or equipment suppliers above the Q2 2026 baseline of 176 construction claims per quarter.</w:t>
      </w:r>
    </w:p>
    <w:p>
      <w:pPr>
        <w:pStyle w:val="ListParagraph"/>
        <w:numPr>
          <w:ilvl w:val="0"/>
          <w:numId w:val="2"/>
        </w:numPr>
        <w:spacing w:after="80"/>
      </w:pPr>
      <w:r>
        <w:t xml:space="preserve">Legal milestones: UK bill Royal Assent; NIS2 Court rulings; procurement regulation adoption; first CRA reporting statistics.</w:t>
      </w:r>
    </w:p>
    <w:p>
      <w:pPr>
        <w:pStyle w:val="Heading1"/>
        <w:pageBreakBefore/>
      </w:pPr>
      <w:r>
        <w:t xml:space="preserve">Methodology and Evidence Limitations</w:t>
      </w:r>
    </w:p>
    <w:p>
      <w:pPr>
        <w:spacing w:after="140"/>
      </w:pPr>
      <w:r>
        <w:rPr>
          <w:b/>
          <w:bCs/>
        </w:rPr>
        <w:t xml:space="preserve">Method.</w:t>
      </w:r>
      <w:r>
        <w:t xml:space="preserve"> Wide discovery across construction, civil engineering, public works, project owners, materials, construction technology and building systems, using English, German, French, Danish and Japanese queries, followed by primary-source research. Sources were classified as Tier 1 (official, legal, regulatory, affected organisation, government), Tier 2 (independent research with disclosed method) or Tier 3 (media and discovery). Tier 3 sources are never the sole support for a material finding; where Tier 3 detail is shown it is labelled. Publication date and observation period are recorded separately; repeated reporting of one incident is counted once. All sources were accessed on 14 October 2026.</w:t>
      </w:r>
    </w:p>
    <w:p>
      <w:pPr>
        <w:spacing w:after="140"/>
      </w:pPr>
      <w:r>
        <w:rPr>
          <w:b/>
          <w:bCs/>
        </w:rPr>
        <w:t xml:space="preserve">Evidence limitations.</w:t>
      </w:r>
    </w:p>
    <w:p>
      <w:pPr>
        <w:pStyle w:val="ListParagraph"/>
        <w:numPr>
          <w:ilvl w:val="0"/>
          <w:numId w:val="2"/>
        </w:numPr>
        <w:spacing w:after="80"/>
      </w:pPr>
      <w:r>
        <w:t xml:space="preserve">Disclosure asymmetry: public bodies publish governance records while private contractors rarely disclose incidents, so public-owner cases are over-represented.</w:t>
      </w:r>
    </w:p>
    <w:p>
      <w:pPr>
        <w:pStyle w:val="ListParagraph"/>
        <w:numPr>
          <w:ilvl w:val="0"/>
          <w:numId w:val="2"/>
        </w:numPr>
        <w:spacing w:after="80"/>
      </w:pPr>
      <w:r>
        <w:t xml:space="preserve">No in-period contractor or supplier disclosed a quantified cost, delay or contractual effect; absence of disclosure is not evidence of no loss.</w:t>
      </w:r>
    </w:p>
    <w:p>
      <w:pPr>
        <w:pStyle w:val="ListParagraph"/>
        <w:numPr>
          <w:ilvl w:val="0"/>
          <w:numId w:val="2"/>
        </w:numPr>
        <w:spacing w:after="80"/>
      </w:pPr>
      <w:r>
        <w:t xml:space="preserve">The Fehmarnbelt evidence is one to two days old; operational effects are reported by media and unconfirmed.</w:t>
      </w:r>
    </w:p>
    <w:p>
      <w:pPr>
        <w:pStyle w:val="ListParagraph"/>
        <w:numPr>
          <w:ilvl w:val="0"/>
          <w:numId w:val="2"/>
        </w:numPr>
        <w:spacing w:after="80"/>
      </w:pPr>
      <w:r>
        <w:t xml:space="preserve">Leak-site benchmarks (Dragos, Black Kite) measure claims made by criminal groups, not sector attack rates, and use different windows and taxonomies; they are not combined.</w:t>
      </w:r>
    </w:p>
    <w:p>
      <w:pPr>
        <w:pStyle w:val="ListParagraph"/>
        <w:numPr>
          <w:ilvl w:val="0"/>
          <w:numId w:val="2"/>
        </w:numPr>
        <w:spacing w:after="80"/>
      </w:pPr>
      <w:r>
        <w:t xml:space="preserve">QBE downtime and survey figures have partially undisclosed methods.</w:t>
      </w:r>
    </w:p>
    <w:p>
      <w:pPr>
        <w:pStyle w:val="ListParagraph"/>
        <w:numPr>
          <w:ilvl w:val="0"/>
          <w:numId w:val="2"/>
        </w:numPr>
        <w:spacing w:after="80"/>
      </w:pPr>
      <w:r>
        <w:t xml:space="preserve">A Tier 1 measure of the sector's share of EU output and employment, and EU bank exposure to construction by sector code, could not be retrieved in this run.</w:t>
      </w:r>
    </w:p>
    <w:p>
      <w:pPr>
        <w:pStyle w:val="ListParagraph"/>
        <w:numPr>
          <w:ilvl w:val="0"/>
          <w:numId w:val="2"/>
        </w:numPr>
        <w:spacing w:after="80"/>
      </w:pPr>
      <w:r>
        <w:t xml:space="preserve">No in-period Tier 1 or Tier 2 incident involving building-management or building-automation systems was identified; the subsector is covered through product regulation and OT control evidence only.</w:t>
      </w:r>
    </w:p>
    <w:p>
      <w:pPr>
        <w:pStyle w:val="ListParagraph"/>
        <w:numPr>
          <w:ilvl w:val="0"/>
          <w:numId w:val="2"/>
        </w:numPr>
        <w:spacing w:after="80"/>
      </w:pPr>
      <w:r>
        <w:t xml:space="preserve">Legal article content for NIS2, CER, CRA and GDPR was recorded from the official texts; session access confirmed the official metadata pages.</w:t>
      </w:r>
    </w:p>
    <w:p>
      <w:pPr>
        <w:pStyle w:val="ListParagraph"/>
        <w:numPr>
          <w:ilvl w:val="0"/>
          <w:numId w:val="2"/>
        </w:numPr>
        <w:spacing w:after="80"/>
      </w:pPr>
      <w:r>
        <w:t xml:space="preserve">Minnesota attribution to Iran is preliminary and anonymous; the state has made no attribution.</w:t>
      </w:r>
    </w:p>
    <w:p>
      <w:pPr>
        <w:pStyle w:val="ListParagraph"/>
        <w:numPr>
          <w:ilvl w:val="0"/>
          <w:numId w:val="2"/>
        </w:numPr>
        <w:spacing w:after="80"/>
      </w:pPr>
      <w:r>
        <w:t xml:space="preserve">No numerical probabilities are assigned; scenarios are stress narratives.</w:t>
      </w:r>
    </w:p>
    <w:p>
      <w:pPr>
        <w:spacing w:after="140"/>
      </w:pPr>
      <w:r>
        <w:rPr>
          <w:b/>
          <w:bCs/>
        </w:rPr>
        <w:t xml:space="preserve">Confidence.</w:t>
      </w:r>
      <w:r>
        <w:t xml:space="preserve"> Confidence is high for regulatory status and for the RBKC and Miljödata facts, medium for the principal judgements, and low for scenario durations and the Fehmarnbelt operational effects.</w:t>
      </w:r>
    </w:p>
    <w:p>
      <w:pPr>
        <w:pStyle w:val="Heading1"/>
        <w:pageBreakBefore/>
      </w:pPr>
      <w:r>
        <w:t xml:space="preserve">References</w:t>
      </w:r>
    </w:p>
    <w:p>
      <w:pPr>
        <w:spacing w:after="140"/>
      </w:pPr>
      <w:r>
        <w:t xml:space="preserve">Each entry: number, source and title, publisher, publication date and basis, access date, tier, temporal class, locator. URLs are given in the reference definitions below this list.</w:t>
      </w:r>
    </w:p>
    <w:p>
      <w:pPr>
        <w:pStyle w:val="ListParagraph"/>
        <w:numPr>
          <w:ilvl w:val="0"/>
          <w:numId w:val="2"/>
        </w:numPr>
        <w:spacing w:after="80"/>
      </w:pPr>
      <w:r>
        <w:rPr>
          <w:sz w:val="17"/>
          <w:szCs w:val="17"/>
        </w:rPr>
        <w:t xml:space="preserve">[1] Femern A/S - FLC cyber incident notice. Femern A/S (Sund &amp; Bælt group), “Hovedentreprenør på Femern-projektet ramt af cyberhændelse (Main contractor on the Femern project hit by cyber incident)”. Published 2026-10-13 (exact). Accessed 2026-10-14. Tier 1. Temporal class: current. Observation period: 12-13 October 2026. Locator: News item body; quotes attributed to Jens Villemoes, press chief, Sund &amp; Bælt. Source ID S-001.</w:t>
      </w:r>
    </w:p>
    <w:p>
      <w:pPr>
        <w:pStyle w:val="ListParagraph"/>
        <w:numPr>
          <w:ilvl w:val="0"/>
          <w:numId w:val="2"/>
        </w:numPr>
        <w:spacing w:after="80"/>
      </w:pPr>
      <w:r>
        <w:rPr>
          <w:sz w:val="17"/>
          <w:szCs w:val="17"/>
        </w:rPr>
        <w:t xml:space="preserve">[2] Copenhagen Post - Fehmarn Belt contractor incident. The Copenhagen Post, “Cyber incident hits contractor building Fehmarn Belt tunnel”. Published 2026-10-13 (exact). Accessed 2026-10-14. Tier 3. Temporal class: current. Observation period: 12-13 October 2026. Locator: Article body citing Lolland-Falsters Folketidende via Ritzau, Sund &amp; Bælt and TV 2. Source ID S-002.</w:t>
      </w:r>
    </w:p>
    <w:p>
      <w:pPr>
        <w:pStyle w:val="ListParagraph"/>
        <w:numPr>
          <w:ilvl w:val="0"/>
          <w:numId w:val="2"/>
        </w:numPr>
        <w:spacing w:after="80"/>
      </w:pPr>
      <w:r>
        <w:rPr>
          <w:sz w:val="17"/>
          <w:szCs w:val="17"/>
        </w:rPr>
        <w:t xml:space="preserve">[3] MS Aktuell - Fehmarnbelt contractor incident. MS Aktuell, “Fehmarnbelt-Tunnel: Cybervorfall trifft Hauptauftragnehmer”. Published 2026-10-13 (exact). Accessed 2026-10-14. Tier 3. Temporal class: current. Observation period: 12-13 October 2026; project status May-September 2026. Locator: Sections on affected parties, statements and project schedule. Source ID S-003.</w:t>
      </w:r>
    </w:p>
    <w:p>
      <w:pPr>
        <w:pStyle w:val="ListParagraph"/>
        <w:numPr>
          <w:ilvl w:val="0"/>
          <w:numId w:val="2"/>
        </w:numPr>
        <w:spacing w:after="80"/>
      </w:pPr>
      <w:r>
        <w:rPr>
          <w:sz w:val="17"/>
          <w:szCs w:val="17"/>
        </w:rPr>
        <w:t xml:space="preserve">[4] Ingeniøren - Femern project hacker attack. Ingeniøren (ing.dk), “Femern-projektet ramt af hackerangreb”. Published 2026-10-13 (exact). Accessed 2026-10-14. Tier 3. Temporal class: current. Observation period: 13 October 2026. Locator: Visible lead paragraphs (article paywalled). Source ID S-004.</w:t>
      </w:r>
    </w:p>
    <w:p>
      <w:pPr>
        <w:pStyle w:val="ListParagraph"/>
        <w:numPr>
          <w:ilvl w:val="0"/>
          <w:numId w:val="2"/>
        </w:numPr>
        <w:spacing w:after="80"/>
      </w:pPr>
      <w:r>
        <w:rPr>
          <w:sz w:val="17"/>
          <w:szCs w:val="17"/>
        </w:rPr>
        <w:t xml:space="preserve">[5] RBKC - Incident summary and recovery plans. Royal Borough of Kensington and Chelsea, “Cyber-attack: incident summary and recovery plans (Key Decision KD2000006)”. Published 2026-01-13 (exact). Accessed 2026-10-14. Tier 1. Temporal class: current. Observation period: 24 November 2025 to 13 January 2026. Locator: Paras 1.1, 4.1-4.3, 5.2-5.9, 6.7 (recovery table), 10.1-10.3. Source ID S-005.</w:t>
      </w:r>
    </w:p>
    <w:p>
      <w:pPr>
        <w:pStyle w:val="ListParagraph"/>
        <w:numPr>
          <w:ilvl w:val="0"/>
          <w:numId w:val="2"/>
        </w:numPr>
        <w:spacing w:after="80"/>
      </w:pPr>
      <w:r>
        <w:rPr>
          <w:sz w:val="17"/>
          <w:szCs w:val="17"/>
        </w:rPr>
        <w:t xml:space="preserve">[6] RBKC - Cyber attack recovery update March 2026. Royal Borough of Kensington and Chelsea, “Cyber Attack Recovery Update - Overview and Scrutiny Select Committee”. Published 2026-03 (month only). Accessed 2026-10-14. Tier 1. Temporal class: current. Observation period: 24 November 2025 to March 2026. Locator: Paras 1.3, 1.5, 2.4, 3.2-3.6, 4.1-4.3, 5.1-5.4. Source ID S-006.</w:t>
      </w:r>
    </w:p>
    <w:p>
      <w:pPr>
        <w:pStyle w:val="ListParagraph"/>
        <w:numPr>
          <w:ilvl w:val="0"/>
          <w:numId w:val="2"/>
        </w:numPr>
        <w:spacing w:after="80"/>
      </w:pPr>
      <w:r>
        <w:rPr>
          <w:sz w:val="17"/>
          <w:szCs w:val="17"/>
        </w:rPr>
        <w:t xml:space="preserve">[7] RBKC - Audit and Transparency Committee pack September 2026. Royal Borough of Kensington and Chelsea (incl. Grant Thornton Auditor's Annual Report), “Audit and Transparency Committee public reports pack, 28 September 2026”. Published 2026-09 (month only). Accessed 2026-10-14. Tier 1. Temporal class: current. Observation period: Financial year 2025/26 and July-September 2026. Locator: Minutes Item 5 p.8 (GBP 1.2m costs); AAR p.9 (agenda p.33) significant weakness, human error, fragmented ICT estate; AAR pp.21,23. Source ID S-007.</w:t>
      </w:r>
    </w:p>
    <w:p>
      <w:pPr>
        <w:pStyle w:val="ListParagraph"/>
        <w:numPr>
          <w:ilvl w:val="0"/>
          <w:numId w:val="2"/>
        </w:numPr>
        <w:spacing w:after="80"/>
      </w:pPr>
      <w:r>
        <w:rPr>
          <w:sz w:val="17"/>
          <w:szCs w:val="17"/>
        </w:rPr>
        <w:t xml:space="preserve">[8] RBKC - Cyber security attack FAQs. Royal Borough of Kensington and Chelsea, “Cyber security attack FAQs”. Published 2026-07-03 (page update). Accessed 2026-10-14. Tier 1. Temporal class: current. Observation period: 24 November 2025 to 3 July 2026. Locator: FAQ sections on discovery, data, services and involvement; last updated 3 July 2026. Source ID S-008.</w:t>
      </w:r>
    </w:p>
    <w:p>
      <w:pPr>
        <w:pStyle w:val="ListParagraph"/>
        <w:numPr>
          <w:ilvl w:val="0"/>
          <w:numId w:val="2"/>
        </w:numPr>
        <w:spacing w:after="80"/>
      </w:pPr>
      <w:r>
        <w:rPr>
          <w:sz w:val="17"/>
          <w:szCs w:val="17"/>
        </w:rPr>
        <w:t xml:space="preserve">[9] Local Government Lawyer - London boroughs data copied. Local Government Lawyer, “Data was copied without authorisation in recent cyber attack with criminal intent, London boroughs reveal”. Published 2025-12-18 (exact). Accessed 2026-10-14. Tier 3. Temporal class: current. Observation period: 24 November to 18 December 2025. Locator: Article body quoting Westminster, RBKC and H&amp;F statements. Source ID S-009.</w:t>
      </w:r>
    </w:p>
    <w:p>
      <w:pPr>
        <w:pStyle w:val="ListParagraph"/>
        <w:numPr>
          <w:ilvl w:val="0"/>
          <w:numId w:val="2"/>
        </w:numPr>
        <w:spacing w:after="80"/>
      </w:pPr>
      <w:r>
        <w:rPr>
          <w:sz w:val="17"/>
          <w:szCs w:val="17"/>
        </w:rPr>
        <w:t xml:space="preserve">[10] IMY - Sanction against Miljödata. Integritetsskyddsmyndigheten (IMY), Sweden, “Sanktionsavgift mot Miljödata för bristande säkerhet”. Published 2026-09-22 (exact). Accessed 2026-10-14. Tier 1. Temporal class: current. Observation period: Attack August 2025; decision September 2026. Locator: News item: fine, Article 32(1) GDPR findings, investigations into two municipalities and one region. Source ID S-010.</w:t>
      </w:r>
    </w:p>
    <w:p>
      <w:pPr>
        <w:pStyle w:val="ListParagraph"/>
        <w:numPr>
          <w:ilvl w:val="0"/>
          <w:numId w:val="2"/>
        </w:numPr>
        <w:spacing w:after="80"/>
      </w:pPr>
      <w:r>
        <w:rPr>
          <w:sz w:val="17"/>
          <w:szCs w:val="17"/>
        </w:rPr>
        <w:t xml:space="preserve">[11] BleepingComputer - Miljödata fine. BleepingComputer, “Sweden fines Miljödata 183,000 USD over breach affecting 2.2 million”. Published 2026-09-22 (exact). Accessed 2026-10-14. Tier 3. Temporal class: current. Observation period: 25 August 2025 to 22 September 2026. Locator: Article body: attack date, ransom demand, customer coverage. Source ID S-011.</w:t>
      </w:r>
    </w:p>
    <w:p>
      <w:pPr>
        <w:pStyle w:val="ListParagraph"/>
        <w:numPr>
          <w:ilvl w:val="0"/>
          <w:numId w:val="2"/>
        </w:numPr>
        <w:spacing w:after="80"/>
      </w:pPr>
      <w:r>
        <w:rPr>
          <w:sz w:val="17"/>
          <w:szCs w:val="17"/>
        </w:rPr>
        <w:t xml:space="preserve">[12] MNIT - Statewide response, 28 July 2026. Minnesota IT Services (MNIT), “MNIT activates statewide cybersecurity response to support affected communities (title abbreviated)”. Published 2026-07-28 (exact). Accessed 2026-10-14. Tier 1. Temporal class: current. Observation period: 26-28 July 2026. Locator: Press release body: dates, number of systems, agencies, actions. Source ID S-012.</w:t>
      </w:r>
    </w:p>
    <w:p>
      <w:pPr>
        <w:pStyle w:val="ListParagraph"/>
        <w:numPr>
          <w:ilvl w:val="0"/>
          <w:numId w:val="2"/>
        </w:numPr>
        <w:spacing w:after="80"/>
      </w:pPr>
      <w:r>
        <w:rPr>
          <w:sz w:val="17"/>
          <w:szCs w:val="17"/>
        </w:rPr>
        <w:t xml:space="preserve">[13] MNIT - Continued response, 30 July 2026. Minnesota IT Services (MNIT), “Minnesota continues response to cyber activity affecting community water systems”. Published 2026-07-30 (exact). Accessed 2026-10-14. Tier 1. Temporal class: current. Observation period: 26-30 July 2026. Locator: Press release body: PLC/HMI involvement, definition of impacted, attribution status, recommended actions. Source ID S-013.</w:t>
      </w:r>
    </w:p>
    <w:p>
      <w:pPr>
        <w:pStyle w:val="ListParagraph"/>
        <w:numPr>
          <w:ilvl w:val="0"/>
          <w:numId w:val="2"/>
        </w:numPr>
        <w:spacing w:after="80"/>
      </w:pPr>
      <w:r>
        <w:rPr>
          <w:sz w:val="17"/>
          <w:szCs w:val="17"/>
        </w:rPr>
        <w:t xml:space="preserve">[14] AP via KFYR - Minnesota attribution report. KFYR-TV (Associated Press reporting), “U.S. officials believe Iran likely behind Minnesota water system cyberattack, though assessment is preliminary”. Published 2026-07-30 (exact). Accessed 2026-10-14. Tier 3. Temporal class: current. Observation period: 26-30 July 2026. Locator: Article body: preliminary attribution, Braham restart within about 90 minutes, CISA prior warning. Source ID S-014.</w:t>
      </w:r>
    </w:p>
    <w:p>
      <w:pPr>
        <w:pStyle w:val="ListParagraph"/>
        <w:numPr>
          <w:ilvl w:val="0"/>
          <w:numId w:val="2"/>
        </w:numPr>
        <w:spacing w:after="80"/>
      </w:pPr>
      <w:r>
        <w:rPr>
          <w:sz w:val="17"/>
          <w:szCs w:val="17"/>
        </w:rPr>
        <w:t xml:space="preserve">[15] SANKO TECHNO - TSE ransomware disclosure. Japan Exchange Group TDnet (SANKO TECHNO Co., Ltd.), “Notice regarding ransomware attack on overseas subsidiary (SANKO FASTEM (VIETNAM) LTD.)”. Published 2026-08-28 (exact). Accessed 2026-10-14. Tier 1. Temporal class: current. Observation period: 25-28 August 2026. Locator: Disclosure body: detection 25 August 2026, isolation, financial impact under review. Source ID S-015.</w:t>
      </w:r>
    </w:p>
    <w:p>
      <w:pPr>
        <w:pStyle w:val="ListParagraph"/>
        <w:numPr>
          <w:ilvl w:val="0"/>
          <w:numId w:val="2"/>
        </w:numPr>
        <w:spacing w:after="80"/>
      </w:pPr>
      <w:r>
        <w:rPr>
          <w:sz w:val="17"/>
          <w:szCs w:val="17"/>
        </w:rPr>
        <w:t xml:space="preserve">[16] SANKO TECHNO - Company overview. SANKO TECHNO Co., Ltd., “Company Overview”. Published undated (undated). Accessed 2026-10-14. Tier 1. Temporal class: contextual. Observation period: Not stated. Locator: Business description: post-installed anchors, fasteners, drill bits. Source ID S-016.</w:t>
      </w:r>
    </w:p>
    <w:p>
      <w:pPr>
        <w:pStyle w:val="ListParagraph"/>
        <w:numPr>
          <w:ilvl w:val="0"/>
          <w:numId w:val="2"/>
        </w:numPr>
        <w:spacing w:after="80"/>
      </w:pPr>
      <w:r>
        <w:rPr>
          <w:sz w:val="17"/>
          <w:szCs w:val="17"/>
        </w:rPr>
        <w:t xml:space="preserve">[17] Havtil - PST dam intrusion notice. Havindustritilsynet (Havtil), Norway, “Need for continuous increased vigilance and heightened preparedness in the ICT security work”. Published 2025-08-21 (exact). Accessed 2026-10-14. Tier 1. Temporal class: H2_prior. Observation period: April-August 2025. Locator: News body: PST confirmation 13 August 2025, Bremanger dam, quote from PST head. Source ID S-017.</w:t>
      </w:r>
    </w:p>
    <w:p>
      <w:pPr>
        <w:pStyle w:val="ListParagraph"/>
        <w:numPr>
          <w:ilvl w:val="0"/>
          <w:numId w:val="2"/>
        </w:numPr>
        <w:spacing w:after="80"/>
      </w:pPr>
      <w:r>
        <w:rPr>
          <w:sz w:val="17"/>
          <w:szCs w:val="17"/>
        </w:rPr>
        <w:t xml:space="preserve">[18] QBE and Control Risks - From blueprints to breaches. QBE Europe with Control Risks, “From blueprints to breaches - digital transformation is reshaping cyber risk across construction and infrastructure projects”. Published 2026-05-06 (exact). Accessed 2026-10-14. Tier 2. Temporal class: current. Observation period: 2022-2026; mainly calendar year 2025. Locator: Report landing page: statistics list, case studies (Lagan, Skender, Z-Pentest), Figure 7 recommendations. Source ID S-018.</w:t>
      </w:r>
    </w:p>
    <w:p>
      <w:pPr>
        <w:pStyle w:val="ListParagraph"/>
        <w:numPr>
          <w:ilvl w:val="0"/>
          <w:numId w:val="2"/>
        </w:numPr>
        <w:spacing w:after="80"/>
      </w:pPr>
      <w:r>
        <w:rPr>
          <w:sz w:val="17"/>
          <w:szCs w:val="17"/>
        </w:rPr>
        <w:t xml:space="preserve">[19] QBE - UK construction project delivery release. QBE Europe, “Cyber incidents risking UK construction project delivery (press release)”. Published 2026-05-06 (exact). Accessed 2026-10-14. Tier 2. Temporal class: current. Observation period: Calendar year 2025. Locator: Release body with report page references (p.2, p.9, p.11). Source ID S-019.</w:t>
      </w:r>
    </w:p>
    <w:p>
      <w:pPr>
        <w:pStyle w:val="ListParagraph"/>
        <w:numPr>
          <w:ilvl w:val="0"/>
          <w:numId w:val="2"/>
        </w:numPr>
        <w:spacing w:after="80"/>
      </w:pPr>
      <w:r>
        <w:rPr>
          <w:sz w:val="17"/>
          <w:szCs w:val="17"/>
        </w:rPr>
        <w:t xml:space="preserve">[20] Dragos - Industrial ransomware Q2 2026. Dragos, “Industrial Ransomware Analysis for Q2 2026”. Published 2026-08-10 (exact). Accessed 2026-10-14. Tier 2. Temporal class: current. Observation period: 1 April - 30 June 2026. Locator: Key Findings; Ransomware by Sector - Manufacturing (construction subsector); Ransomware by Region. Source ID S-020.</w:t>
      </w:r>
    </w:p>
    <w:p>
      <w:pPr>
        <w:pStyle w:val="ListParagraph"/>
        <w:numPr>
          <w:ilvl w:val="0"/>
          <w:numId w:val="2"/>
        </w:numPr>
        <w:spacing w:after="80"/>
      </w:pPr>
      <w:r>
        <w:rPr>
          <w:sz w:val="17"/>
          <w:szCs w:val="17"/>
        </w:rPr>
        <w:t xml:space="preserve">[21] Black Kite - 2026 Ransomware Report. Black Kite, “2026 Ransomware Report”. Published 2026 (year only). Accessed 2026-10-14. Tier 2. Temporal class: current. Observation period: April 2025 - March 2026. Locator: Report landing page: totals, industry ranking, regional growth, methodology. Source ID S-021.</w:t>
      </w:r>
    </w:p>
    <w:p>
      <w:pPr>
        <w:pStyle w:val="ListParagraph"/>
        <w:numPr>
          <w:ilvl w:val="0"/>
          <w:numId w:val="2"/>
        </w:numPr>
        <w:spacing w:after="80"/>
      </w:pPr>
      <w:r>
        <w:rPr>
          <w:sz w:val="17"/>
          <w:szCs w:val="17"/>
        </w:rPr>
        <w:t xml:space="preserve">[22] CISA and partners - Akira advisory update. CISA, FBI, DC3, HHS, Europol EC3 and European partners, “#StopRansomware: Akira Ransomware (AA24-109A, updated 13 November 2025)”. Published 2025-11-13 (exact). Accessed 2026-10-14. Tier 1. Temporal class: H2_prior. Observation period: March 2023 - late September 2025. Locator: Update note p.3 (proceeds, sectors); Initial Access p.6; Exfiltration p.9. Source ID S-022.</w:t>
      </w:r>
    </w:p>
    <w:p>
      <w:pPr>
        <w:pStyle w:val="ListParagraph"/>
        <w:numPr>
          <w:ilvl w:val="0"/>
          <w:numId w:val="2"/>
        </w:numPr>
        <w:spacing w:after="80"/>
      </w:pPr>
      <w:r>
        <w:rPr>
          <w:sz w:val="17"/>
          <w:szCs w:val="17"/>
        </w:rPr>
        <w:t xml:space="preserve">[23] ENISA - Threat Landscape 2025. European Union Agency for Cybersecurity (ENISA), “ENISA Threat Landscape 2025”. Published 2025-10 (month only). Accessed 2026-10-14. Tier 1. Temporal class: H2_prior. Observation period: 1 July 2024 - 30 June 2025. Locator: pp.6-9 (initial access, DDoS, OT and supply-chain shares); pp.16-17 (sectors); p.28 (ransomware). Source ID S-023.</w:t>
      </w:r>
    </w:p>
    <w:p>
      <w:pPr>
        <w:pStyle w:val="ListParagraph"/>
        <w:numPr>
          <w:ilvl w:val="0"/>
          <w:numId w:val="2"/>
        </w:numPr>
        <w:spacing w:after="80"/>
      </w:pPr>
      <w:r>
        <w:rPr>
          <w:sz w:val="17"/>
          <w:szCs w:val="17"/>
        </w:rPr>
        <w:t xml:space="preserve">[24] NCSC - Annual Review 2025 news release. National Cyber Security Centre (UK), “UK experiencing four nationally significant cyber attacks every week”. Published 2025-10-14 (exact). Accessed 2026-10-14. Tier 1. Temporal class: H2_prior. Observation period: 1 September 2024 - 31 August 2025. Locator: Opening paragraphs: 429 incidents, 204 nationally significant (89 prior year), 18 highly significant. Source ID S-024.</w:t>
      </w:r>
    </w:p>
    <w:p>
      <w:pPr>
        <w:pStyle w:val="ListParagraph"/>
        <w:numPr>
          <w:ilvl w:val="0"/>
          <w:numId w:val="2"/>
        </w:numPr>
        <w:spacing w:after="80"/>
      </w:pPr>
      <w:r>
        <w:rPr>
          <w:sz w:val="17"/>
          <w:szCs w:val="17"/>
        </w:rPr>
        <w:t xml:space="preserve">[25] Canadian Cyber Centre - Iranian threat bulletin. Canadian Centre for Cyber Security, “Cyber Threat Bulletin: Iranian Cyber Threat Response to US/Israel Strikes, February 2026”. Published 2026-03-01 (exact). Accessed 2026-10-14. Tier 1. Temporal class: current. Observation period: Current as of 28 February 2026. Locator: Key judgements; targeting of poorly secured infrastructure networks and internet-connected devices; water and energy. Source ID S-025.</w:t>
      </w:r>
    </w:p>
    <w:p>
      <w:pPr>
        <w:pStyle w:val="ListParagraph"/>
        <w:numPr>
          <w:ilvl w:val="0"/>
          <w:numId w:val="2"/>
        </w:numPr>
        <w:spacing w:after="80"/>
      </w:pPr>
      <w:r>
        <w:rPr>
          <w:sz w:val="17"/>
          <w:szCs w:val="17"/>
        </w:rPr>
        <w:t xml:space="preserve">[26] AFP - Construction BEC alert. Australian Federal Police with state police forces, “Criminals target construction sector with business email compromise scams”. Published 2025-10-28 (exact). Accessed 2026-10-14. Tier 1. Temporal class: H2_prior. Observation period: Calendar year 2024 (losses); case studies. Locator: Release body: AUD 152.6m BEC losses 2024, 13% of business reports, construction targeting rationale, case studies. Source ID S-026.</w:t>
      </w:r>
    </w:p>
    <w:p>
      <w:pPr>
        <w:pStyle w:val="ListParagraph"/>
        <w:numPr>
          <w:ilvl w:val="0"/>
          <w:numId w:val="2"/>
        </w:numPr>
        <w:spacing w:after="80"/>
      </w:pPr>
      <w:r>
        <w:rPr>
          <w:sz w:val="17"/>
          <w:szCs w:val="17"/>
        </w:rPr>
        <w:t xml:space="preserve">[27] Procore - FY2025 Form 10-K. Procore Technologies, Inc., “Form 10-K for fiscal year ended 31 December 2025”. Published 2026 (year only). Accessed 2026-10-14. Tier 1. Temporal class: current. Observation period: Fiscal year 2025. Locator: Item 1 (17,850 customers; about 160 countries); Item 1A risk factor on reliance on third-party data centres such as AWS. Source ID S-027.</w:t>
      </w:r>
    </w:p>
    <w:p>
      <w:pPr>
        <w:pStyle w:val="ListParagraph"/>
        <w:numPr>
          <w:ilvl w:val="0"/>
          <w:numId w:val="2"/>
        </w:numPr>
        <w:spacing w:after="80"/>
      </w:pPr>
      <w:r>
        <w:rPr>
          <w:sz w:val="17"/>
          <w:szCs w:val="17"/>
        </w:rPr>
        <w:t xml:space="preserve">[28] The Register - AWS UAE drone strikes. The Register, “AWS says drones hit two of its datacenters in UAE, urges users to move resources to different regions”. Published 2026-03-02 (exact). Accessed 2026-10-14. Tier 3. Temporal class: current. Observation period: 2-3 March 2026. Locator: Article body quoting AWS status updates; zones mec1-az2, mec1-az3, mes1-az2. Source ID S-028.</w:t>
      </w:r>
    </w:p>
    <w:p>
      <w:pPr>
        <w:pStyle w:val="ListParagraph"/>
        <w:numPr>
          <w:ilvl w:val="0"/>
          <w:numId w:val="2"/>
        </w:numPr>
        <w:spacing w:after="80"/>
      </w:pPr>
      <w:r>
        <w:rPr>
          <w:sz w:val="17"/>
          <w:szCs w:val="17"/>
        </w:rPr>
        <w:t xml:space="preserve">[29] UK Government - JLR loan guarantee. UK Government (DBT, HM Treasury, UK Export Finance), “Government backs Jaguar Land Rover with 1.5 billion pound loan guarantee”. Published 2025-09-28 (exact). Accessed 2026-10-14. Tier 1. Temporal class: H2_prior. Observation period: September 2025. Locator: Release body and notes to editors: commercial bank loan, UKEF guarantee up to 80%, five-year term, supply-chain purpose. Source ID S-029.</w:t>
      </w:r>
    </w:p>
    <w:p>
      <w:pPr>
        <w:pStyle w:val="ListParagraph"/>
        <w:numPr>
          <w:ilvl w:val="0"/>
          <w:numId w:val="2"/>
        </w:numPr>
        <w:spacing w:after="80"/>
      </w:pPr>
      <w:r>
        <w:rPr>
          <w:sz w:val="17"/>
          <w:szCs w:val="17"/>
        </w:rPr>
        <w:t xml:space="preserve">[30] ICO - Interserve penalty. Information Commissioner's Office (UK), “Biggest cyber risk is complacency, not hackers (Interserve Group Ltd penalty)”. Published 2022-10 (month only). Accessed 2026-10-14. Tier 1. Temporal class: historical. Observation period: 2020 incident; October 2022 penalty. Locator: News body: GBP 4.4m fine, attack chain, failings. Source ID S-030.</w:t>
      </w:r>
    </w:p>
    <w:p>
      <w:pPr>
        <w:pStyle w:val="ListParagraph"/>
        <w:numPr>
          <w:ilvl w:val="0"/>
          <w:numId w:val="2"/>
        </w:numPr>
        <w:spacing w:after="80"/>
      </w:pPr>
      <w:r>
        <w:rPr>
          <w:sz w:val="17"/>
          <w:szCs w:val="17"/>
        </w:rPr>
        <w:t xml:space="preserve">[31] Insolvency Service via The Gazette - July 2026 statistics. The Gazette (official public record), Insolvency Service statistics, “Company insolvency statistics - July 2026”. Published 2026-08-18 (exact). Accessed 2026-10-14. Tier 1. Temporal class: current. Observation period: 12 months to July 2026. Locator: Industry breakdown paragraph: construction 3,841 insolvencies, 17% of cases with industry captured. Source ID S-031.</w:t>
      </w:r>
    </w:p>
    <w:p>
      <w:pPr>
        <w:pStyle w:val="ListParagraph"/>
        <w:numPr>
          <w:ilvl w:val="0"/>
          <w:numId w:val="2"/>
        </w:numPr>
        <w:spacing w:after="80"/>
      </w:pPr>
      <w:r>
        <w:rPr>
          <w:sz w:val="17"/>
          <w:szCs w:val="17"/>
        </w:rPr>
        <w:t xml:space="preserve">[32] EUR-Lex - NIS2 Directive. EUR-Lex (Official Journal of the EU), “Directive (EU) 2022/2555 (NIS2 Directive)”. Published 2022-12-27 (exact). Accessed 2026-10-14. Tier 1. Temporal class: contextual. Observation period: Applies from 18 October 2024. Locator: ELI metadata (OJ 27.12.2022; in force 16.1.2023); Arts 20, 21(2)(d), 23(4), 41(1); Annexes I-II. Source ID S-032.</w:t>
      </w:r>
    </w:p>
    <w:p>
      <w:pPr>
        <w:pStyle w:val="ListParagraph"/>
        <w:numPr>
          <w:ilvl w:val="0"/>
          <w:numId w:val="2"/>
        </w:numPr>
        <w:spacing w:after="80"/>
      </w:pPr>
      <w:r>
        <w:rPr>
          <w:sz w:val="17"/>
          <w:szCs w:val="17"/>
        </w:rPr>
        <w:t xml:space="preserve">[33] European Commission - NIS2 CJEU referral. European Commission (Shaping Europe's digital future), “Commission refers Ireland, Spain, France and the Netherlands to the Court of Justice for failing to transpose rules (NIS2)”. Published 2026-07-08 (exact). Accessed 2026-10-14. Tier 1. Temporal class: current. Observation period: Infringement procedure November 2024 - July 2026. Locator: News body: referral, lump sum and daily penalties requested, letters of formal notice 28.11.2024, reasoned opinions 7.5.2025. Source ID S-033.</w:t>
      </w:r>
    </w:p>
    <w:p>
      <w:pPr>
        <w:pStyle w:val="ListParagraph"/>
        <w:numPr>
          <w:ilvl w:val="0"/>
          <w:numId w:val="2"/>
        </w:numPr>
        <w:spacing w:after="80"/>
      </w:pPr>
      <w:r>
        <w:rPr>
          <w:sz w:val="17"/>
          <w:szCs w:val="17"/>
        </w:rPr>
        <w:t xml:space="preserve">[34] EUR-Lex - CER Directive. EUR-Lex (Official Journal of the EU), “Directive (EU) 2022/2557 (CER Directive on the resilience of designated entities)”. Published 2022-12-27 (exact). Accessed 2026-10-14. Tier 1. Temporal class: contextual. Observation period: Transposition by 17 October 2024; entity identification by 17 July 2026. Locator: ELI metadata (OJ 27.12.2022; in force 16.1.2023); Arts 6(1), 26(1); Annex. Source ID S-034.</w:t>
      </w:r>
    </w:p>
    <w:p>
      <w:pPr>
        <w:pStyle w:val="ListParagraph"/>
        <w:numPr>
          <w:ilvl w:val="0"/>
          <w:numId w:val="2"/>
        </w:numPr>
        <w:spacing w:after="80"/>
      </w:pPr>
      <w:r>
        <w:rPr>
          <w:sz w:val="17"/>
          <w:szCs w:val="17"/>
        </w:rPr>
        <w:t xml:space="preserve">[35] EUR-Lex - Cyber Resilience Act. EUR-Lex (Official Journal of the EU), “Regulation (EU) 2024/2847 (Cyber Resilience Act)”. Published 2024-10-23 (exact). Accessed 2026-10-14. Tier 1. Temporal class: contextual. Observation period: In force 10 December 2024; reporting from 11 September 2026; main obligations from 11 December 2027. Locator: ELI metadata (act 23.10.2024; in force 10.12.2024); Arts 14, 71. Source ID S-035.</w:t>
      </w:r>
    </w:p>
    <w:p>
      <w:pPr>
        <w:pStyle w:val="ListParagraph"/>
        <w:numPr>
          <w:ilvl w:val="0"/>
          <w:numId w:val="2"/>
        </w:numPr>
        <w:spacing w:after="80"/>
      </w:pPr>
      <w:r>
        <w:rPr>
          <w:sz w:val="17"/>
          <w:szCs w:val="17"/>
        </w:rPr>
        <w:t xml:space="preserve">[36] European Commission - CRA reporting. European Commission (Shaping Europe's digital future), “CRA reporting obligations”. Published 2026-09-11 (page update). Accessed 2026-10-14. Tier 1. Temporal class: current. Observation period: From 11 September 2026. Locator: Page body: start date, 24h/72h/final report, Single Reporting Platform; last updated 11 September 2026. Source ID S-036.</w:t>
      </w:r>
    </w:p>
    <w:p>
      <w:pPr>
        <w:pStyle w:val="ListParagraph"/>
        <w:numPr>
          <w:ilvl w:val="0"/>
          <w:numId w:val="2"/>
        </w:numPr>
        <w:spacing w:after="80"/>
      </w:pPr>
      <w:r>
        <w:rPr>
          <w:sz w:val="17"/>
          <w:szCs w:val="17"/>
        </w:rPr>
        <w:t xml:space="preserve">[37] EUR-Lex - GDPR. EUR-Lex (Official Journal of the EU), “Regulation (EU) 2016/679 (General Data Protection Regulation)”. Published 2016-05-04 (exact). Accessed 2026-10-14. Tier 1. Temporal class: contextual. Observation period: Applies from 25 May 2018. Locator: ELI metadata (OJ 4.5.2016; in force 24.5.2016); Arts 28, 32, 33. Source ID S-037.</w:t>
      </w:r>
    </w:p>
    <w:p>
      <w:pPr>
        <w:pStyle w:val="ListParagraph"/>
        <w:numPr>
          <w:ilvl w:val="0"/>
          <w:numId w:val="2"/>
        </w:numPr>
        <w:spacing w:after="80"/>
      </w:pPr>
      <w:r>
        <w:rPr>
          <w:sz w:val="17"/>
          <w:szCs w:val="17"/>
        </w:rPr>
        <w:t xml:space="preserve">[38] Council of the EU - Public Procurement Act proposal. Council of the European Union, “Proposal for a Regulation on public contracts and concessions (Public Procurement Act), COM(2026) 590 final, Council doc. 12969/26”. Published 2026-09-10 (exact). Accessed 2026-10-14. Tier 1. Temporal class: current. Observation period: Commission transmission 9 September 2026. Locator: Cover page; explanatory memorandum (Chapter 4 security and resilience); recitals 29-30. Source ID S-038.</w:t>
      </w:r>
    </w:p>
    <w:p>
      <w:pPr>
        <w:pStyle w:val="ListParagraph"/>
        <w:numPr>
          <w:ilvl w:val="0"/>
          <w:numId w:val="2"/>
        </w:numPr>
        <w:spacing w:after="80"/>
      </w:pPr>
      <w:r>
        <w:rPr>
          <w:sz w:val="17"/>
          <w:szCs w:val="17"/>
        </w:rPr>
        <w:t xml:space="preserve">[39] UK Parliament - Cyber Security and Resilience Bill. UK Parliament, “Cyber Security and Resilience (Network and Information Systems) Bill - bill page”. Published 2026-10-13 (page update). Accessed 2026-10-14. Tier 1. Temporal class: current. Observation period: Introduced 12 November 2025; Lords stages 2026. Locator: Bill page: current stage (Lords Report), HL Bill 49 as amended in Grand Committee dated 7 September 2026; sponsoring department DSIT. Source ID S-039.</w:t>
      </w:r>
    </w:p>
    <w:p>
      <w:pPr>
        <w:pStyle w:val="ListParagraph"/>
        <w:numPr>
          <w:ilvl w:val="0"/>
          <w:numId w:val="2"/>
        </w:numPr>
        <w:spacing w:after="80"/>
      </w:pPr>
      <w:r>
        <w:rPr>
          <w:sz w:val="17"/>
          <w:szCs w:val="17"/>
        </w:rPr>
        <w:t xml:space="preserve">[40] Cabinet Office - PPN 014 Cyber Essentials. Cabinet Office (UK), “PPN 014: Cyber Essentials scheme”. Published 2025-02-17 (exact). Accessed 2026-10-14. Tier 1. Temporal class: contextual. Observation period: Effective 24 February 2025. Locator: Paras on scope, requirement, replacement of PPN 09/14 and 09/23, para 6 and 10. Source ID S-040.</w:t>
      </w:r>
    </w:p>
    <w:p>
      <w:pPr>
        <w:pStyle w:val="ListParagraph"/>
        <w:numPr>
          <w:ilvl w:val="0"/>
          <w:numId w:val="2"/>
        </w:numPr>
        <w:spacing w:after="80"/>
      </w:pPr>
      <w:r>
        <w:rPr>
          <w:sz w:val="17"/>
          <w:szCs w:val="17"/>
        </w:rPr>
        <w:t xml:space="preserve">[41] legislation.gov.uk - NIS Regulations 2018. legislation.gov.uk, “The Network and Information Systems Regulations 2018 (SI 2018/506)”. Published 2018-04-19 (exact). Accessed 2026-10-14. Tier 1. Temporal class: historical. Observation period: In force 10 May 2018. Locator: Reg 1(1); Schedule 1 sectors; Schedule 2 para 7. Source ID S-041.</w:t>
      </w:r>
    </w:p>
    <w:p>
      <w:pPr>
        <w:pStyle w:val="ListParagraph"/>
        <w:numPr>
          <w:ilvl w:val="0"/>
          <w:numId w:val="2"/>
        </w:numPr>
        <w:spacing w:after="80"/>
      </w:pPr>
      <w:r>
        <w:rPr>
          <w:sz w:val="17"/>
          <w:szCs w:val="17"/>
        </w:rPr>
        <w:t xml:space="preserve">[42] LGA - Procurement Act 2023 briefing. Local Government Association, “Update on the Procurement Act 2023: a briefing for senior leaders”. Published 2024-10-02 (exact). Accessed 2026-10-14. Tier 1. Temporal class: historical. Observation period: Go-live 24 February 2025. Locator: Briefing body: commencement date and council status as contracting authorities. Source ID S-042.</w:t>
      </w:r>
    </w:p>
    <w:p>
      <w:pPr>
        <w:pStyle w:val="ListParagraph"/>
        <w:numPr>
          <w:ilvl w:val="0"/>
          <w:numId w:val="2"/>
        </w:numPr>
        <w:spacing w:after="80"/>
      </w:pPr>
      <w:r>
        <w:rPr>
          <w:sz w:val="17"/>
          <w:szCs w:val="17"/>
        </w:rPr>
        <w:t xml:space="preserve">[43] ISO - ISO 19650-5:2020. International Organization for Standardization, “ISO 19650-5:2020 Security-minded approach to information management”. Published 2020-06-10 (exact). Accessed 2026-10-14. Tier 1. Temporal class: historical. Observation period: Confirmed after systematic review October 2025. Locator: Catalogue abstract and life-cycle status (90.93, 2025-10-24). Source ID S-043.</w:t>
      </w:r>
    </w:p>
    <w:p>
      <w:pPr>
        <w:pStyle w:val="ListParagraph"/>
        <w:numPr>
          <w:ilvl w:val="0"/>
          <w:numId w:val="2"/>
        </w:numPr>
        <w:spacing w:after="80"/>
      </w:pPr>
      <w:r>
        <w:rPr>
          <w:sz w:val="17"/>
          <w:szCs w:val="17"/>
        </w:rPr>
        <w:t xml:space="preserve">[44] NIST - CSF 2.0. US National Institute of Standards and Technology, “The NIST Cybersecurity Framework (CSF) 2.0 (CSWP 29)”. Published 2024-02-26 (exact). Accessed 2026-10-14. Tier 1. Temporal class: historical. Observation period: Published 26 February 2024. Locator: Publication page: date, abstract, supply chain risk management topic. Source ID S-044.</w:t>
      </w:r>
    </w:p>
    <w:p>
      <w:pPr>
        <w:pStyle w:val="ListParagraph"/>
        <w:numPr>
          <w:ilvl w:val="0"/>
          <w:numId w:val="2"/>
        </w:numPr>
        <w:spacing w:after="80"/>
      </w:pPr>
      <w:r>
        <w:rPr>
          <w:sz w:val="17"/>
          <w:szCs w:val="17"/>
        </w:rPr>
        <w:t xml:space="preserve">[45] SC Media - Small construction firm collapse. SC Media (relaying The Register), “Small construction firm collapses after ransomware attack, while another narrowly avoids disaster”. Published 2026-10-09 (exact). Accessed 2026-10-14. Tier 3. Temporal class: current. Observation period: Undated anecdotes reported October 2026. Locator: Brief body. Source ID S-045.</w:t>
      </w:r>
    </w:p>
    <w:p>
      <w:pPr>
        <w:pStyle w:val="ListParagraph"/>
        <w:numPr>
          <w:ilvl w:val="0"/>
          <w:numId w:val="2"/>
        </w:numPr>
        <w:spacing w:after="80"/>
      </w:pPr>
      <w:r>
        <w:rPr>
          <w:sz w:val="17"/>
          <w:szCs w:val="17"/>
        </w:rPr>
        <w:t xml:space="preserve">[46] legislation.gov.uk - Data Protection Act 2018. legislation.gov.uk, “Data Protection Act 2018 (2018 c. 12)”. Published 2018-05-23 (exact). Accessed 2026-10-14. Tier 1. Temporal class: historical. Observation period: Enacted 23 May 2018; UK GDPR framework retained after EU exit. Locator: Heading date; Part 2 General processing (Chapters 2-3). Source ID S-046.</w:t>
      </w:r>
    </w:p>
    <w:p>
      <w:pPr>
        <w:pStyle w:val="ListParagraph"/>
        <w:numPr>
          <w:ilvl w:val="0"/>
          <w:numId w:val="2"/>
        </w:numPr>
        <w:spacing w:after="80"/>
      </w:pPr>
      <w:r>
        <w:rPr>
          <w:sz w:val="17"/>
          <w:szCs w:val="17"/>
        </w:rPr>
        <w:t xml:space="preserve">[47] SEC - Cyber incident disclosure guide. US Securities and Exchange Commission, “Cybersecurity Risk Management, Strategy, Governance, and Incident Disclosure - small entity compliance guide (Release 33-11216)”. Published 2023-07-26 (exact). Accessed 2026-10-14. Tier 1. Temporal class: historical. Observation period: Form 8-K Item 1.05 compliance from 18 December 2023 (non-SRCs). Locator: Guide sections on Form 8-K Item 1.05 and compliance dates. Source ID S-047.</w:t>
      </w:r>
    </w:p>
    <w:p>
      <w:pPr>
        <w:spacing w:after="40"/>
      </w:pPr>
      <w:r>
        <w:rPr>
          <w:color w:val="404040"/>
          <w:sz w:val="16"/>
          <w:szCs w:val="16"/>
        </w:rPr>
        <w:t xml:space="preserve">[1] https://femern.com/da/presse/nyheder/hovedentreprenor-pa-femern-projektet-ramt-af-cyberhaendelse/</w:t>
      </w:r>
    </w:p>
    <w:p>
      <w:pPr>
        <w:spacing w:after="40"/>
      </w:pPr>
      <w:r>
        <w:rPr>
          <w:color w:val="404040"/>
          <w:sz w:val="16"/>
          <w:szCs w:val="16"/>
        </w:rPr>
        <w:t xml:space="preserve">[2] https://cphpost.dk/2026-10-13/news/round-up/cyber-incident-hits-contractor-building-fehmarn-belt-tunnel</w:t>
      </w:r>
    </w:p>
    <w:p>
      <w:pPr>
        <w:spacing w:after="40"/>
      </w:pPr>
      <w:r>
        <w:rPr>
          <w:color w:val="404040"/>
          <w:sz w:val="16"/>
          <w:szCs w:val="16"/>
        </w:rPr>
        <w:t xml:space="preserve">[3] https://ms-aktuell.de/welt/fehmarnbelt-tunnel-cyberangriff-13-10-2026/</w:t>
      </w:r>
    </w:p>
    <w:p>
      <w:pPr>
        <w:spacing w:after="40"/>
      </w:pPr>
      <w:r>
        <w:rPr>
          <w:color w:val="404040"/>
          <w:sz w:val="16"/>
          <w:szCs w:val="16"/>
        </w:rPr>
        <w:t xml:space="preserve">[4] https://ing.dk/artikel/femern-projektet-ramt-af-hackerangreb</w:t>
      </w:r>
    </w:p>
    <w:p>
      <w:pPr>
        <w:spacing w:after="40"/>
      </w:pPr>
      <w:r>
        <w:rPr>
          <w:color w:val="404040"/>
          <w:sz w:val="16"/>
          <w:szCs w:val="16"/>
        </w:rPr>
        <w:t xml:space="preserve">[5] https://www.rbkc.gov.uk/committees/documents/s32223/7.2%20Cyber%20Incident%20Update.pdf</w:t>
      </w:r>
    </w:p>
    <w:p>
      <w:pPr>
        <w:spacing w:after="40"/>
      </w:pPr>
      <w:r>
        <w:rPr>
          <w:color w:val="404040"/>
          <w:sz w:val="16"/>
          <w:szCs w:val="16"/>
        </w:rPr>
        <w:t xml:space="preserve">[6] https://rbkc.moderngov.co.uk/committees/documents/s32148/4.%20Cyber%20recovery%20update%20-%20March%2026%20-%20final.pdf</w:t>
      </w:r>
    </w:p>
    <w:p>
      <w:pPr>
        <w:spacing w:after="40"/>
      </w:pPr>
      <w:r>
        <w:rPr>
          <w:color w:val="404040"/>
          <w:sz w:val="16"/>
          <w:szCs w:val="16"/>
        </w:rPr>
        <w:t xml:space="preserve">[7] https://www.rbkc.gov.uk/Committees/documents/g4241/Public%20reports%20pack%2028th-Sep-2026%2018.30%20Audit%20Transparency%20Committee.pdf?T=10</w:t>
      </w:r>
    </w:p>
    <w:p>
      <w:pPr>
        <w:spacing w:after="40"/>
      </w:pPr>
      <w:r>
        <w:rPr>
          <w:color w:val="404040"/>
          <w:sz w:val="16"/>
          <w:szCs w:val="16"/>
        </w:rPr>
        <w:t xml:space="preserve">[8] https://www.rbkc.gov.uk/cyber-security-incident-faq</w:t>
      </w:r>
    </w:p>
    <w:p>
      <w:pPr>
        <w:spacing w:after="40"/>
      </w:pPr>
      <w:r>
        <w:rPr>
          <w:color w:val="404040"/>
          <w:sz w:val="16"/>
          <w:szCs w:val="16"/>
        </w:rPr>
        <w:t xml:space="preserve">[9] https://www.localgovernmentlawyer.co.uk/information-law/398-information-law-news/99318-data-was-copied-without-authorisation-in-recent-cyber-attack-with-criminal-intent-london-boroughs-reveal</w:t>
      </w:r>
    </w:p>
    <w:p>
      <w:pPr>
        <w:spacing w:after="40"/>
      </w:pPr>
      <w:r>
        <w:rPr>
          <w:color w:val="404040"/>
          <w:sz w:val="16"/>
          <w:szCs w:val="16"/>
        </w:rPr>
        <w:t xml:space="preserve">[10] https://www.imy.se/nyheter/sanktionsavgift-mot-miljodata-for-bristande-sakerhet/</w:t>
      </w:r>
    </w:p>
    <w:p>
      <w:pPr>
        <w:spacing w:after="40"/>
      </w:pPr>
      <w:r>
        <w:rPr>
          <w:color w:val="404040"/>
          <w:sz w:val="16"/>
          <w:szCs w:val="16"/>
        </w:rPr>
        <w:t xml:space="preserve">[11] https://www.bleepingcomputer.com/news/security/sweden-fines-milj-data-183-000-over-breach-affecting-22-million/amp/</w:t>
      </w:r>
    </w:p>
    <w:p>
      <w:pPr>
        <w:spacing w:after="40"/>
      </w:pPr>
      <w:r>
        <w:rPr>
          <w:color w:val="404040"/>
          <w:sz w:val="16"/>
          <w:szCs w:val="16"/>
        </w:rPr>
        <w:t xml:space="preserve">[12] https://mn.gov/mnit/media/blog/?id=38-761869</w:t>
      </w:r>
    </w:p>
    <w:p>
      <w:pPr>
        <w:spacing w:after="40"/>
      </w:pPr>
      <w:r>
        <w:rPr>
          <w:color w:val="404040"/>
          <w:sz w:val="16"/>
          <w:szCs w:val="16"/>
        </w:rPr>
        <w:t xml:space="preserve">[13] https://mn.gov/mnit/media/blog/?id=38-762209</w:t>
      </w:r>
    </w:p>
    <w:p>
      <w:pPr>
        <w:spacing w:after="40"/>
      </w:pPr>
      <w:r>
        <w:rPr>
          <w:color w:val="404040"/>
          <w:sz w:val="16"/>
          <w:szCs w:val="16"/>
        </w:rPr>
        <w:t xml:space="preserve">[14] https://www.kfyrtv.com/2026/07/30/update-us-officials-believe-iran-likely-behind-minnesota-water-system-cyberattack-though-assessment-is-preliminary/</w:t>
      </w:r>
    </w:p>
    <w:p>
      <w:pPr>
        <w:spacing w:after="40"/>
      </w:pPr>
      <w:r>
        <w:rPr>
          <w:color w:val="404040"/>
          <w:sz w:val="16"/>
          <w:szCs w:val="16"/>
        </w:rPr>
        <w:t xml:space="preserve">[15] https://www2.jpx.co.jp/disc/34350/140120260828527717.pdf</w:t>
      </w:r>
    </w:p>
    <w:p>
      <w:pPr>
        <w:spacing w:after="40"/>
      </w:pPr>
      <w:r>
        <w:rPr>
          <w:color w:val="404040"/>
          <w:sz w:val="16"/>
          <w:szCs w:val="16"/>
        </w:rPr>
        <w:t xml:space="preserve">[16] https://sanko-techno.co.jp/en/overview</w:t>
      </w:r>
    </w:p>
    <w:p>
      <w:pPr>
        <w:spacing w:after="40"/>
      </w:pPr>
      <w:r>
        <w:rPr>
          <w:color w:val="404040"/>
          <w:sz w:val="16"/>
          <w:szCs w:val="16"/>
        </w:rPr>
        <w:t xml:space="preserve">[17] https://www.havtil.no/en/explore-technical-subjects2/technical-competence/news/2025/need-for-continuous-increased-vigilance-and-heightened-preparedness-in-the-ict-security-work/</w:t>
      </w:r>
    </w:p>
    <w:p>
      <w:pPr>
        <w:spacing w:after="40"/>
      </w:pPr>
      <w:r>
        <w:rPr>
          <w:color w:val="404040"/>
          <w:sz w:val="16"/>
          <w:szCs w:val="16"/>
        </w:rPr>
        <w:t xml:space="preserve">[18] https://qbeeurope.com/sector-resilience/from-blueprints-to-breaches/</w:t>
      </w:r>
    </w:p>
    <w:p>
      <w:pPr>
        <w:spacing w:after="40"/>
      </w:pPr>
      <w:r>
        <w:rPr>
          <w:color w:val="404040"/>
          <w:sz w:val="16"/>
          <w:szCs w:val="16"/>
        </w:rPr>
        <w:t xml:space="preserve">[19] https://qbeeurope.com/news-and-events/press-releases/cyber-incidents-risking-uk-construction-project-delivery/</w:t>
      </w:r>
    </w:p>
    <w:p>
      <w:pPr>
        <w:spacing w:after="40"/>
      </w:pPr>
      <w:r>
        <w:rPr>
          <w:color w:val="404040"/>
          <w:sz w:val="16"/>
          <w:szCs w:val="16"/>
        </w:rPr>
        <w:t xml:space="preserve">[20] https://www.dragos.com/blog/dragos-industrial-ransomware-analysis-q2-2026</w:t>
      </w:r>
    </w:p>
    <w:p>
      <w:pPr>
        <w:spacing w:after="40"/>
      </w:pPr>
      <w:r>
        <w:rPr>
          <w:color w:val="404040"/>
          <w:sz w:val="16"/>
          <w:szCs w:val="16"/>
        </w:rPr>
        <w:t xml:space="preserve">[21] https://blackkite.com/reports/2026-ransomware-report</w:t>
      </w:r>
    </w:p>
    <w:p>
      <w:pPr>
        <w:spacing w:after="40"/>
      </w:pPr>
      <w:r>
        <w:rPr>
          <w:color w:val="404040"/>
          <w:sz w:val="16"/>
          <w:szCs w:val="16"/>
        </w:rPr>
        <w:t xml:space="preserve">[22] https://www.ic3.gov/CSA/2025/251113.pdf</w:t>
      </w:r>
    </w:p>
    <w:p>
      <w:pPr>
        <w:spacing w:after="40"/>
      </w:pPr>
      <w:r>
        <w:rPr>
          <w:color w:val="404040"/>
          <w:sz w:val="16"/>
          <w:szCs w:val="16"/>
        </w:rPr>
        <w:t xml:space="preserve">[23] https://www.enisa.europa.eu/sites/default/files/2026-09/ENISA%20Threat%20Landscape%202025_v1.3_September2026_0.pdf</w:t>
      </w:r>
    </w:p>
    <w:p>
      <w:pPr>
        <w:spacing w:after="40"/>
      </w:pPr>
      <w:r>
        <w:rPr>
          <w:color w:val="404040"/>
          <w:sz w:val="16"/>
          <w:szCs w:val="16"/>
        </w:rPr>
        <w:t xml:space="preserve">[24] https://www.ncsc.gov.uk/news/uk-experiencing-four-nationally-significant-cyber-attacks-weekly</w:t>
      </w:r>
    </w:p>
    <w:p>
      <w:pPr>
        <w:spacing w:after="40"/>
      </w:pPr>
      <w:r>
        <w:rPr>
          <w:color w:val="404040"/>
          <w:sz w:val="16"/>
          <w:szCs w:val="16"/>
        </w:rPr>
        <w:t xml:space="preserve">[25] https://www.cyber.gc.ca/en/guidance/cyber-threat-bulletin-iranian-cyber-threat-response-usisrael-strikes-february-2026</w:t>
      </w:r>
    </w:p>
    <w:p>
      <w:pPr>
        <w:spacing w:after="40"/>
      </w:pPr>
      <w:r>
        <w:rPr>
          <w:color w:val="404040"/>
          <w:sz w:val="16"/>
          <w:szCs w:val="16"/>
        </w:rPr>
        <w:t xml:space="preserve">[26] https://afp.gov.au/news-centre/media-release/criminals-target-construction-sector-business-email-compromise-scams</w:t>
      </w:r>
    </w:p>
    <w:p>
      <w:pPr>
        <w:spacing w:after="40"/>
      </w:pPr>
      <w:r>
        <w:rPr>
          <w:color w:val="404040"/>
          <w:sz w:val="16"/>
          <w:szCs w:val="16"/>
        </w:rPr>
        <w:t xml:space="preserve">[27] https://www.sec.gov/Archives/edgar/data/1611052/000162828026011055/pcor-20251231.htm</w:t>
      </w:r>
    </w:p>
    <w:p>
      <w:pPr>
        <w:spacing w:after="40"/>
      </w:pPr>
      <w:r>
        <w:rPr>
          <w:color w:val="404040"/>
          <w:sz w:val="16"/>
          <w:szCs w:val="16"/>
        </w:rPr>
        <w:t xml:space="preserve">[28] https://www.theregister.com/2026/03/02/amazon_outages_middle_east/</w:t>
      </w:r>
    </w:p>
    <w:p>
      <w:pPr>
        <w:spacing w:after="40"/>
      </w:pPr>
      <w:r>
        <w:rPr>
          <w:color w:val="404040"/>
          <w:sz w:val="16"/>
          <w:szCs w:val="16"/>
        </w:rPr>
        <w:t xml:space="preserve">[29] https://www.gov.uk/government/news/government-backs-jaguar-land-rover-with-15-billion-loan-guarantee</w:t>
      </w:r>
    </w:p>
    <w:p>
      <w:pPr>
        <w:spacing w:after="40"/>
      </w:pPr>
      <w:r>
        <w:rPr>
          <w:color w:val="404040"/>
          <w:sz w:val="16"/>
          <w:szCs w:val="16"/>
        </w:rPr>
        <w:t xml:space="preserve">[30] https://ico.org.uk/about-the-ico/media-centre/news-and-blogs/2022/10/biggest-cyber-risk-is-complacency-not-hackers</w:t>
      </w:r>
    </w:p>
    <w:p>
      <w:pPr>
        <w:spacing w:after="40"/>
      </w:pPr>
      <w:r>
        <w:rPr>
          <w:color w:val="404040"/>
          <w:sz w:val="16"/>
          <w:szCs w:val="16"/>
        </w:rPr>
        <w:t xml:space="preserve">[31] https://www.thegazette.co.uk/all-notices/content/company-insolvency-statistics-july-2026</w:t>
      </w:r>
    </w:p>
    <w:p>
      <w:pPr>
        <w:spacing w:after="40"/>
      </w:pPr>
      <w:r>
        <w:rPr>
          <w:color w:val="404040"/>
          <w:sz w:val="16"/>
          <w:szCs w:val="16"/>
        </w:rPr>
        <w:t xml:space="preserve">[32] https://eur-lex.europa.eu/eli/dir/2022/2555/oj/eng</w:t>
      </w:r>
    </w:p>
    <w:p>
      <w:pPr>
        <w:spacing w:after="40"/>
      </w:pPr>
      <w:r>
        <w:rPr>
          <w:color w:val="404040"/>
          <w:sz w:val="16"/>
          <w:szCs w:val="16"/>
        </w:rPr>
        <w:t xml:space="preserve">[33] https://digital-strategy.ec.europa.eu/mt/news/commission-refers-ireland-spain-france-and-netherlands-court-justice-failing-transpose-rules</w:t>
      </w:r>
    </w:p>
    <w:p>
      <w:pPr>
        <w:spacing w:after="40"/>
      </w:pPr>
      <w:r>
        <w:rPr>
          <w:color w:val="404040"/>
          <w:sz w:val="16"/>
          <w:szCs w:val="16"/>
        </w:rPr>
        <w:t xml:space="preserve">[34] https://eur-lex.europa.eu/eli/dir/2022/2557/oj/eng</w:t>
      </w:r>
    </w:p>
    <w:p>
      <w:pPr>
        <w:spacing w:after="40"/>
      </w:pPr>
      <w:r>
        <w:rPr>
          <w:color w:val="404040"/>
          <w:sz w:val="16"/>
          <w:szCs w:val="16"/>
        </w:rPr>
        <w:t xml:space="preserve">[35] https://eur-lex.europa.eu/eli/reg/2024/2847/oj/eng</w:t>
      </w:r>
    </w:p>
    <w:p>
      <w:pPr>
        <w:spacing w:after="40"/>
      </w:pPr>
      <w:r>
        <w:rPr>
          <w:color w:val="404040"/>
          <w:sz w:val="16"/>
          <w:szCs w:val="16"/>
        </w:rPr>
        <w:t xml:space="preserve">[36] https://digital-strategy.ec.europa.eu/en/policies/cra-reporting</w:t>
      </w:r>
    </w:p>
    <w:p>
      <w:pPr>
        <w:spacing w:after="40"/>
      </w:pPr>
      <w:r>
        <w:rPr>
          <w:color w:val="404040"/>
          <w:sz w:val="16"/>
          <w:szCs w:val="16"/>
        </w:rPr>
        <w:t xml:space="preserve">[37] https://eur-lex.europa.eu/eli/reg/2016/679/oj/eng</w:t>
      </w:r>
    </w:p>
    <w:p>
      <w:pPr>
        <w:spacing w:after="40"/>
      </w:pPr>
      <w:r>
        <w:rPr>
          <w:color w:val="404040"/>
          <w:sz w:val="16"/>
          <w:szCs w:val="16"/>
        </w:rPr>
        <w:t xml:space="preserve">[38] https://data.consilium.europa.eu/doc/document/ST-12969-2026-INIT/en/pdf</w:t>
      </w:r>
    </w:p>
    <w:p>
      <w:pPr>
        <w:spacing w:after="40"/>
      </w:pPr>
      <w:r>
        <w:rPr>
          <w:color w:val="404040"/>
          <w:sz w:val="16"/>
          <w:szCs w:val="16"/>
        </w:rPr>
        <w:t xml:space="preserve">[39] https://bills.parliament.uk/bills/4035</w:t>
      </w:r>
    </w:p>
    <w:p>
      <w:pPr>
        <w:spacing w:after="40"/>
      </w:pPr>
      <w:r>
        <w:rPr>
          <w:color w:val="404040"/>
          <w:sz w:val="16"/>
          <w:szCs w:val="16"/>
        </w:rPr>
        <w:t xml:space="preserve">[40] https://www.gov.uk/government/publications/ppn-014-cyber-essentials-scheme/ppn-014-cyber-essentials-scheme-html</w:t>
      </w:r>
    </w:p>
    <w:p>
      <w:pPr>
        <w:spacing w:after="40"/>
      </w:pPr>
      <w:r>
        <w:rPr>
          <w:color w:val="404040"/>
          <w:sz w:val="16"/>
          <w:szCs w:val="16"/>
        </w:rPr>
        <w:t xml:space="preserve">[41] https://www.legislation.gov.uk/uksi/2018/506/made?view=plain</w:t>
      </w:r>
    </w:p>
    <w:p>
      <w:pPr>
        <w:spacing w:after="40"/>
      </w:pPr>
      <w:r>
        <w:rPr>
          <w:color w:val="404040"/>
          <w:sz w:val="16"/>
          <w:szCs w:val="16"/>
        </w:rPr>
        <w:t xml:space="preserve">[42] https://www.local.gov.uk/parliament/briefings-and-responses/update-procurement-act-2023-briefing-senior-leaders</w:t>
      </w:r>
    </w:p>
    <w:p>
      <w:pPr>
        <w:spacing w:after="40"/>
      </w:pPr>
      <w:r>
        <w:rPr>
          <w:color w:val="404040"/>
          <w:sz w:val="16"/>
          <w:szCs w:val="16"/>
        </w:rPr>
        <w:t xml:space="preserve">[43] https://www.iso.org/standard/74206.html?browse=tc</w:t>
      </w:r>
    </w:p>
    <w:p>
      <w:pPr>
        <w:spacing w:after="40"/>
      </w:pPr>
      <w:r>
        <w:rPr>
          <w:color w:val="404040"/>
          <w:sz w:val="16"/>
          <w:szCs w:val="16"/>
        </w:rPr>
        <w:t xml:space="preserve">[44] https://csrc.nist.gov/pubs/cswp/29/the-nist-cybersecurity-framework-csf-20/final</w:t>
      </w:r>
    </w:p>
    <w:p>
      <w:pPr>
        <w:spacing w:after="40"/>
      </w:pPr>
      <w:r>
        <w:rPr>
          <w:color w:val="404040"/>
          <w:sz w:val="16"/>
          <w:szCs w:val="16"/>
        </w:rPr>
        <w:t xml:space="preserve">[45] https://www.scworld.com/brief/small-construction-firm-collapses-after-ransomware-attack-while-another-narrowly-avoids-disaster</w:t>
      </w:r>
    </w:p>
    <w:p>
      <w:pPr>
        <w:spacing w:after="40"/>
      </w:pPr>
      <w:r>
        <w:rPr>
          <w:color w:val="404040"/>
          <w:sz w:val="16"/>
          <w:szCs w:val="16"/>
        </w:rPr>
        <w:t xml:space="preserve">[46] https://www.legislation.gov.uk/ukpga/2018/12/made?view=plain</w:t>
      </w:r>
    </w:p>
    <w:p>
      <w:pPr>
        <w:spacing w:after="40"/>
      </w:pPr>
      <w:r>
        <w:rPr>
          <w:color w:val="404040"/>
          <w:sz w:val="16"/>
          <w:szCs w:val="16"/>
        </w:rPr>
        <w:t xml:space="preserve">[47] https://www.sec.gov/corpfin/secg-cybersecurity</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Building &amp; Public Works cyber sectorial analysis - external data only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2328"/>
      <w:sz w:val="40"/>
      <w:szCs w:val="40"/>
    </w:rPr>
  </w:style>
  <w:style w:type="paragraph" w:styleId="Heading1">
    <w:name w:val="Heading 1"/>
    <w:basedOn w:val="Normal"/>
    <w:next w:val="Normal"/>
    <w:qFormat/>
    <w:pPr>
      <w:spacing w:after="160" w:before="240"/>
      <w:outlineLvl w:val="0"/>
    </w:pPr>
    <w:rPr>
      <w:b/>
      <w:bCs/>
      <w:color w:val="00915E"/>
      <w:sz w:val="30"/>
      <w:szCs w:val="30"/>
    </w:rPr>
  </w:style>
  <w:style w:type="paragraph" w:styleId="Heading2">
    <w:name w:val="Heading 2"/>
    <w:basedOn w:val="Normal"/>
    <w:next w:val="Normal"/>
    <w:qFormat/>
    <w:pPr>
      <w:spacing w:after="100" w:before="200"/>
      <w:outlineLvl w:val="1"/>
    </w:pPr>
    <w:rPr>
      <w:b/>
      <w:bCs/>
      <w:color w:val="1F23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&amp; Public Works - Sectorial Cyber Risk Intelligence</dc:title>
  <dc:creator>Cyber Sectorial Analysis (external data only)</dc:creator>
  <cp:lastModifiedBy>Un-named</cp:lastModifiedBy>
  <cp:revision>1</cp:revision>
  <dcterms:created xsi:type="dcterms:W3CDTF">2026-10-14T17:19:02.859Z</dcterms:created>
  <dcterms:modified xsi:type="dcterms:W3CDTF">2026-10-14T17:19:02.859Z</dcterms:modified>
</cp:coreProperties>
</file>

<file path=docProps/custom.xml><?xml version="1.0" encoding="utf-8"?>
<Properties xmlns="http://schemas.openxmlformats.org/officeDocument/2006/custom-properties" xmlns:vt="http://schemas.openxmlformats.org/officeDocument/2006/docPropsVTypes"/>
</file>