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Executive Summary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 Epic Fury 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U.S. and Israel executed coordinated operations against Iran starting February 28, 2026, integrating cyber operations as first-strike capabilities prior to kinetic deployment.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Decentralized Threat Ecosystem: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Iranian retaliatory cyber operations are currently driven by autonomous proxy networks following the degradation of central command infrastructure.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Bank Exposure: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Geopolitical conflict introduces direct targeting risks to US and Gulf operations, alongside second-order trade finance and correspondent banking contagion across EU and APAC markets.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Strategic Context: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US-Iran conflict serves as a live baseline for hybrid warfare analysis, running parallel to ongoing Russian regional operations and AI-Quantum capability advancements.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Cyber Mapping of the US-Iran Political Conflict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First-Mover Doctrine: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U.S. Cyber and Space Commands executed preemptive operations to blind Iranian early warning sensors and communication networks. This established a "one-way transparency" battlespace enabling kinetic strikes.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Information Warfare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Offensive operations compromised the BadeSaba mobile application, utilized by Iranian security forces, to deliver synchronized psychological messaging during physical strikes.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Infrastructure Blackout: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Iranian national internet connectivity was reduced to 1-4% of baseline capacity for over 72 hours. This severed the central command capabilities of the MOIS and IRGC.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Decentralized Proxy Retaliation: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Cyber retaliation is executed by a consortium of over 70 state-aligned hacktivist collectives operating with tactical autonomy. Groups including Handala Hack Team and DieNet are conducting DDoS, hack-and-leak, and wiper attacks against government and commercial infrastructure in the US, Israel, and GCC states.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Physical-Cyber Spillover: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Proxy operations resulted in impacts on an AWS data center in the United Arab Emirates, causing regional cloud service disruptions.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Capital Flight Mechanisms: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Kinetic destabilization triggered an anomalous rise in Iranian cryptocurrency transaction volumes. Regime elites and IRGC-linked entities utilize digital ledgers to offshore assets, bypassing traditional correspondent banking channels and elevating cross-border AML/KYC regulatory exposure.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Strategic Threat Landscape Overview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Correspondent Banking Contagion: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Active Iranian targeting of Gulf state bank partners (UAE, Saudi, Qatar, Bahrain, Kuwait) introduces infection vectors and payment routing failures for EU headquarters.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Second-Order Economic Spillovers: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Disruption of the Strait of Hormuz generates energy price volatility, trade finance delays, and insurance cost inflation, directly impacting European and Indian export portfolios.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Geographic Risk Variations: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U.S. and Gulf operations face critical, direct physical-cyber exposure. EU headquarters face elevated risk due to sanctions enforcement roles, while APAC operations face moderate-elevated risk via trade dependencies.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Russian Structural Operations: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Russia remains the primary structural threat to European stability. Operations include the deployment of a maritime "shadow fleet" to sabotage submarine data cables and persistent GPS/GNSS jamming affecting 40% of European air traffic.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Systemic Financial 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Intelligence models define a $3.5 trillion risk scenario representing a coordinated disruption of the global interbank messaging and clearing architecture.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and Quantum Convergence: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Geopolitical shifts accelerate the necessity of the European Quantum Act to secure digital autonomy. AI functions as a force multiplier, utilizing algorithmic "de-organization" to mimic quantum decryption capabilities prior to the deployment of fault-tolerant quantum hardware.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