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Subject: Executive Briefing: UK Banking Sector Adverse News (29 July – 5 August 2026)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Hi Jules,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Here is the adverse news screening summary for the UK banking sector covering the last 7 days (29 July – 5 August 2026):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EXECUTIVE SUMMARY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Primary sector risk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during the 7-day window centers on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fresh High Court litigation against Barclays PLC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stemming from the collapse of Market Financial Solutions (MFS), alongside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tightened prudential reporting rules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published by the PRA.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Supervisory oversight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continues to focus on asset freezing accountability, disclosure transparency, and financial promotion compliance.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CRITICAL OPERATIONAL FAILURES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High Court Asset Claim against Barclays (31 July / 5 August):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Joint administrators for collapsed lender Market Financial Solutions (MFS) filed a formal High Court claim against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Barclays PLC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to recover over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£160M in held/frozen accounts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escalating legal and financial exposure following an earlier £228M investment bank impairment. </w:t>
      </w:r>
      <w:hyperlink r:id="rId6">
        <w:r w:rsidDel="00000000" w:rsidR="00000000" w:rsidRPr="00000000">
          <w:rPr>
            <w:rFonts w:ascii="Google Sans" w:cs="Google Sans" w:eastAsia="Google Sans" w:hAnsi="Google Sans"/>
            <w:color w:val="0b57d0"/>
            <w:u w:val="single"/>
            <w:rtl w:val="0"/>
          </w:rPr>
          <w:t xml:space="preserve">Mortgage Solutions Enforcement Report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INSTITUTION-SPECIFIC ADVERSE DEVELOPMENTS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Barclays PLC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FCA Registration Risk Supplement (29 July):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Barclays Bank PLC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published Supplement 1/2026 to its FCA Registration Document, formally updating investor risk factors regarding macroeconomic volatility, cyber risks, and ongoing regulatory investigation exposures. </w:t>
      </w:r>
      <w:hyperlink r:id="rId7">
        <w:r w:rsidDel="00000000" w:rsidR="00000000" w:rsidRPr="00000000">
          <w:rPr>
            <w:rFonts w:ascii="Google Sans" w:cs="Google Sans" w:eastAsia="Google Sans" w:hAnsi="Google Sans"/>
            <w:color w:val="0b57d0"/>
            <w:u w:val="single"/>
            <w:rtl w:val="0"/>
          </w:rPr>
          <w:t xml:space="preserve">Barclays Investor Prospectus Supplement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REGULATORY POLICY &amp; ENFORCEMENT TRAJECTORY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FCA Financial Promotion Sanction (30 July):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FCA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issued a public censure against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Equity for Growth (Securities) Ltd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for approving misleading investment promotions that failed to disclose sales commissions of up to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27.5%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reinforcing regulatory intolerance for disclosure omissions. </w:t>
      </w:r>
      <w:hyperlink r:id="rId8">
        <w:r w:rsidDel="00000000" w:rsidR="00000000" w:rsidRPr="00000000">
          <w:rPr>
            <w:rFonts w:ascii="Google Sans" w:cs="Google Sans" w:eastAsia="Google Sans" w:hAnsi="Google Sans"/>
            <w:color w:val="0b57d0"/>
            <w:u w:val="single"/>
            <w:rtl w:val="0"/>
          </w:rPr>
          <w:t xml:space="preserve">Investment Executive Regulatory Briefing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PRA Solvency &amp; Reporting Mandate - PS18/26 (29 July):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finalized policy statement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PS18/26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imposing updated post-implementation reporting and disclosure requirements for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Own Funds permissions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across UK-regulated entities. </w:t>
      </w:r>
      <w:hyperlink r:id="rId9">
        <w:r w:rsidDel="00000000" w:rsidR="00000000" w:rsidRPr="00000000">
          <w:rPr>
            <w:rFonts w:ascii="Google Sans" w:cs="Google Sans" w:eastAsia="Google Sans" w:hAnsi="Google Sans"/>
            <w:color w:val="0b57d0"/>
            <w:u w:val="single"/>
            <w:rtl w:val="0"/>
          </w:rPr>
          <w:t xml:space="preserve">Bank of England PRA Policy Statement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Best regards,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ankofengland.co.uk/prudential-regulation/publication/2026/july/solvency-uk-policy-statement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ortgagesolutions.co.uk/mortgage-news/2026/08/05/market-financial-solutions-administrators-sue-barclays-over-held-funds/" TargetMode="External"/><Relationship Id="rId7" Type="http://schemas.openxmlformats.org/officeDocument/2006/relationships/hyperlink" Target="https://home.barclays/investor-relations/fixed-income-investors/prospectus-and-documents/structured-securities-prospectuses/" TargetMode="External"/><Relationship Id="rId8" Type="http://schemas.openxmlformats.org/officeDocument/2006/relationships/hyperlink" Target="https://www.investmentexecutive.com/news/regulation/firm-failed-to-disclose-high-commissions-fc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