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Subject: Executive Briefing: UK Banking Sector Adverse News (29 July – 5 August 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 Jules,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adverse news screening summary for the UK banking sector covering the last 7 days (29 July – 5 August 2026):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sector risk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during the 7-day period is characterized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cross-border regulatory enforcement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capital adequacy misreporting penalties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persistent physical network retrenchment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Supervisory pressure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continues to intensify across both prudential regulators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and financial crime enforcement agencies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PSR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international authorities).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CRITICAL OPERATIONAL &amp; FINANCIAL CRIME FAILURES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Confirmation of Payee (CoP) Compliance Enforcement (29 July):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Regulatory enforcement confirmed against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Bank of Ireland (UK) plc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£3.8M penalty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issued by the Payment Systems Regulator (PSR) for multi-month non-compliance with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Specific Direction 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send-side anti-fraud protocols. </w:t>
      </w: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PSR Final Decision &amp; Enforcement Notice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Capital &amp; Governance Reporting Penalties (31 July):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Prudential Regulation Authority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finalized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£2.0M penalty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against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Bank of London Group Limited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citing severe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prudential and governance deficiencies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specifically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misleading regulatory disclosures regarding capital adequacy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hyperlink r:id="rId7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PRA Final Notice &amp; Sanction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INSTITUTION-SPECIFIC ADVERSE DEVELOPMENTS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Barclays PLC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European Regulatory Fine (1 August):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German market regulator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BaFin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levied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administrative fine of €1.65M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against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Barclays PLC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following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26 documented instances of delayed major voting rights notifications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hyperlink r:id="rId8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BaFin Official Penalty Announcement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Financial Crime Oversight Sanctions (2 August):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FCA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issued formal Final Notices against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Barclays Bank UK PLC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Barclays Bank PLC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over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deficient anti-money laundering (AML) controls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inadequate due diligence surrounding third-party client money accounts (WealthTek and Stunt &amp; Co). </w:t>
      </w:r>
      <w:hyperlink r:id="rId9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FCA Enforcement Action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Lloyds Banking Group / NatWest Group / Santander UK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Accelerated Retail Network Retrenchment (3 August):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Joint operational disclosures confirm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102+ high-street retail branch closures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entering final execution phases.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Lloyds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leads with 40 branch shutters, followed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Santander UK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(18)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NatWest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(7), triggering heightened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FCA community access reviews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operational transition risk. </w:t>
      </w:r>
      <w:hyperlink r:id="rId10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UK High Street Retail Closure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REGULATORY POLICY &amp; ENFORCEMENT TRAJECTORY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Cross-Border AML Enforcement Trend (3 August):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Multi-jurisdictional enforcement expanded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FinCEN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finalized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$125M civil money penalty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against international banking counterparties for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systemic payment monitoring failures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signposting elevated risk for tier-1 UK clearing banks handling correspondent transactions. </w:t>
      </w:r>
      <w:hyperlink r:id="rId11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FinCEN Enforcement Action Briefing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PRA Liquidity &amp; Solvency Disclosures (4 August):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issued updated regulatory requirements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PS18/26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enforcing tighter reporting metrics for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Solvency UK Own Funds permissions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liquidity buffer tracking across major retail and commercial institutions. </w:t>
      </w:r>
      <w:hyperlink r:id="rId12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Bank of England Regulatory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Best regards,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news.com/news/english-news/73166-who-is-afraid-of-fincen-ubs-fine-mbaer-merchant-bank-switzerland-usa" TargetMode="External"/><Relationship Id="rId10" Type="http://schemas.openxmlformats.org/officeDocument/2006/relationships/hyperlink" Target="https://www.manchestereveningnews.co.uk/news/uk-news/mapped-bank-closures-uk-2026-33238352" TargetMode="External"/><Relationship Id="rId12" Type="http://schemas.openxmlformats.org/officeDocument/2006/relationships/hyperlink" Target="https://www.bankofengland.co.uk/prudential-regulation/publication/2026/july/solvency-uk-policy-statement" TargetMode="External"/><Relationship Id="rId9" Type="http://schemas.openxmlformats.org/officeDocument/2006/relationships/hyperlink" Target="https://cms.law/en/gbr/regulatory-news/fca-final-notices-barclays-bank-uk-plc-barclays-bank-pl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rrer.co.uk/news-and-insights/enforcement-and-litigation-update--new-enforcement-watch-newsletter-carillion-and-finfluencers-in-court/" TargetMode="External"/><Relationship Id="rId7" Type="http://schemas.openxmlformats.org/officeDocument/2006/relationships/hyperlink" Target="https://www.regulationtomorrow.com/2026/04/new-notice-in-a-nutshell-briefing-pra-fines-bank-and-its-parent-company-2-million-in-connection-with-prudential-and-governance-failings/" TargetMode="External"/><Relationship Id="rId8" Type="http://schemas.openxmlformats.org/officeDocument/2006/relationships/hyperlink" Target="https://www.bafin.de/SharedDocs/Veroeffentlichungen/EN/Massnahmen/40c_neu_124_WpHG/meldung_2026_03_27_Barclays_PLC_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