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1: Infection Vector &amp; Dropper Mechanics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focus of this intelligence brief is the Massiv Android Banking Trojan. To comprehend this threat, the primary distribution mechanism must be examined: IPTV.</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Internet Protocol Television delivers live television channels directly over the internet, bypassing traditional satellite or cable formats. While legitimate streaming services are common, a massive underground market exists, particularly in Europe, for unauthorized subscriptions offering premium sports and entertainment at a fraction of the cost.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actors exploit this consumer demand using SMS phishing campaigns that masquerade as security updates or missing media codecs. Users are manipulated into downloading counterfeit IPTV applications. The initial dropper package, identified as hfgx.mqfy.fejku, establishes a foothold. It then deploys a secondary payload, hobfjp.anrxf.cucm, which disguises itself as a legitimate Google Play or System Update service.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indicates high-volume targeting across Southern Europe, specifically Spain, Portugal, France, and Turkey. The compromise begins outside the banking perimeter, but the ultimate target is the financial infrastructure and the client base.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2: Privilege Escalation via Accessibility Service Abuse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installed, the technical execution systematically abuses critical Android Application Programming Interfaces.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payload aggressively solicits Android Accessibility Service permissions by generating blocking overlays that mimic system alerts. By granting these permissions, which were originally designed to assist users with disabilities, the user effectively hands the malware complete control over the device interface.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malware executes real-time keylogging by monitoring the TYPE_VIEW_TEXT_CHANGED event. This captures credentials, PINs, and multi-factor authentication codes exactly as they are typed on the screen.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it employs UI automation, utilizing commands such as performGlobalAction with the GLOBAL_ACTION_BACK parameter. This allows the malware to programmatically dismiss security dialogs and finalize privilege escalation entirely in the background, without requiring any further human interaction.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3: Technical Evasion &amp; Bypassing FLAG_SECURE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advancement in this campaign is its evasion capability, specifically circumventing application-level screen capture protections like the FLAG_SECURE parameter.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 achieves this through a mechanism known as UI-tree mode. The malware traverses AccessibilityWindowInfo roots and iterates through AccessibilityNodeInfo objects. Instead of taking a traditional screenshot, which security controls would block, the malware reads the underlying code of the screen.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extracts a complete JSON representation of the device display, encompassing all visible text, bounding boxes, and interaction flags. This data is then exfiltrated, rendering traditional anti-overlay and anti-screenshot defenses ineffective. The fraudulent operation executes invisibly within a legitimate session.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4: Device Takeover (DTO) Architecture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objective is a complete Device Takeover, facilitated by the FuncVNC remote monitoring class.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Bi-directional communication with the command-and-control infrastructure operates via encrypted WebSockets. This maintains sub-200 millisecond latency, enabling attackers to interact with the device in real-time.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remote commands are deployed during active sessions. The 'blackscreen' command deploys a fully black overlay and mutes sound and vibration, ensuring the device appears dormant while the attacker operates. The 'graphicKey' command replays unlock patterns to bypass lock screens. The 'requestReadSms' command intercepts out-of-band authentication codes, and 'injectPin' deploys fake entry overlays to capture device or banking PINs. The attacker controls the phone exactly as if holding it directly.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Slide 5: KYC Circumvention &amp; Synthetic Fraud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impact extends far beyond immediate account draining. Device Takeover capabilities are weaponized against national digital identity infrastructure, using systems like Portugal's gov.pt and Chave Móvel Digital as prime examples of this vulnerability.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 captures digital ID credentials via targeted overlay injections. Threat actors then programmatically authenticate using the victim's trusted device and residential IP address. This effectively bypasses static geo-location and device fingerprinting controls, as the system registers the activity as originating from a known, verified client.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on-device authentication enables Synthetic Account Opening. Fraudulent loans and accounts are originated at unrelated banks, creating money laundering mule nodes and long-term debt liability for the victim. Under EU payment directives, because detection mechanisms fail to identify this sophisticated takeover, the liability for the financial loss and regulatory penalties shifts entirely to the financial institution.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[Breathe]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