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Relatório de Inteligência de Ameaças Cibernéticas e Geopolíticas: O Conflito EUA-Israel-Irã e o Risco Sistêmico para o Setor Bancário Europeu</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Sumário Executivo e Contextualização Estratégica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partir de 17 de março de 2026, o panorama de segurança no Oriente Médio sofreu uma ruptura estrutural e irreversível, caracterizada por um engajamento militar cinético direto, sustentado e de larga escala entre a coalizão formada pelos Estados Unidos da América e o Estado de Israel contra a República Islâmica do Irã.</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conflito, embora geograficamente circunscrito à região do Golfo Pérsico, ao Levante e aos territórios iraniano e israelense, gerou ondas de choque imediatas e catastróficas em toda a arquitetura macroeconômica global, bem como no domínio da guerra informacional e cibernética. A eclosão da "Operação Epic Fury" (alternativamente designada em despachos de inteligência militar como "Roaring Lion") no dia 28 de fevereiro de 2026 marcou o fim de décadas de guerra por procuração e contenção indireta, inaugurando uma fase de confrontação existencial e decapitação de lideranças.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as instituições financeiras globais sediadas na União Europeia, a metamorfose deste conflito localizado em uma crise sistêmica global traduz-se em três vetores de risco primários: o colapso abrupto da segurança das cadeias de suprimentos marítimos, a introdução de uma pressão inflacionária aguda derivada do mercado de energia e a iminência de campanhas de retaliação cibernética assimétrica patrocinadas por atores estatais iranianos.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 fechamento defensivo do Estreito de Ormuz pelas forças iranianas neutralizou o trânsito de aproximadamente 20% a 30% da matriz energética global, catapultando instantaneamente a cotação do barril de petróleo para valores superiores a 100 dólares.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choque de oferta introduz uma dinâmica de estagflação nos mercados europeus, complicando severamente as diretrizes de política monetária e a gestão de risco de crédito para carteiras de financiamento corporativo.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Paralelamente, a degradação da infraestrutura militar convencional do Irã — exacerbada pelas perdas irreparáveis em sua cadeia de comando civil e militar — força a Guarda Revolucionária Islâmica (IRGC) a redirecionar suas capacidades ofensivas para o espectro assimétrico.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Embora os parâmetros de monitoramento de fontes abertas centrados em incidentes físicos não registrem atualmente anomalias cibernéticas ativas, a doutrina militar iraniana e os precedentes históricos indicam que o setor bancário e financeiro ocidental se encontra no epicentro da matriz de alvos para ciberataques destrutivos.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relatório exaustivo estabelece uma linha de base factual até 17 de março de 2026, decodifica a teleologia das operações militares, modela os efeitos cascata no ecossistema financeiro europeu e fornece diretrizes de mitigação tática e estratégica para proteger a integridade dos ativos institucionais.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Linha de Base Factual e Cronologia da Escalada Cinética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velocidade e a intensidade da escalada militar desde o final de fevereiro de 2026 não possuem paralelos na história recente do Oriente Médio. A extração e o processamento de dados oriundos de alertas de monitoramento geopolítico revelam que a doutrina de "proporcionalidade" foi integralmente abandonada em favor de ataques de saturação, eliminação sistemática de lideranças (decapitação estrutural) e destruição de infraestruturas críticas.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Sequência Cronológica de Eventos Críticos (Até 17 de Março de 2026)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tabela a seguir consolida a cronologia dos eventos táticos e operacionais que configuram o atual teatro de operações, destacando a transição de ataques preventivos para uma guerra de desgaste e interdição econômica.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de Referência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Atores Envolvidos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Descrição do Evento Tático / Estratégico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Impacto Sistêmico e Consequências Diretas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Fontes de Inteligência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 de Fevereiro de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EUA e Israel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Deflagração da Operação </w:t>
            </w:r>
            <w:r w:rsidDel="00000000" w:rsidR="00000000" w:rsidRPr="00000000">
              <w:rPr>
                <w:rFonts w:ascii="Google Sans" w:cs="Google Sans" w:eastAsia="Google Sans" w:hAnsi="Google Sans"/>
                <w:i w:val="1"/>
                <w:iCs w:val="1"/>
                <w:color w:val="1f1f1f"/>
                <w:shd w:fill="auto" w:val="clear"/>
                <w:rtl w:val="0"/>
              </w:rPr>
              <w:t xml:space="preserve">Epic Fury</w:t>
            </w:r>
            <w:r w:rsidDel="00000000" w:rsidR="00000000" w:rsidRPr="00000000">
              <w:rPr>
                <w:rFonts w:ascii="Google Sans" w:cs="Google Sans" w:eastAsia="Google Sans" w:hAnsi="Google Sans"/>
                <w:color w:val="1f1f1f"/>
                <w:shd w:fill="auto" w:val="clear"/>
                <w:rtl w:val="0"/>
              </w:rPr>
              <w:t xml:space="preserve"> / </w:t>
            </w:r>
            <w:r w:rsidDel="00000000" w:rsidR="00000000" w:rsidRPr="00000000">
              <w:rPr>
                <w:rFonts w:ascii="Google Sans" w:cs="Google Sans" w:eastAsia="Google Sans" w:hAnsi="Google Sans"/>
                <w:i w:val="1"/>
                <w:iCs w:val="1"/>
                <w:color w:val="1f1f1f"/>
                <w:shd w:fill="auto" w:val="clear"/>
                <w:rtl w:val="0"/>
              </w:rPr>
              <w:t xml:space="preserve">Roaring Lion</w:t>
            </w:r>
            <w:r w:rsidDel="00000000" w:rsidR="00000000" w:rsidRPr="00000000">
              <w:rPr>
                <w:rFonts w:ascii="Google Sans" w:cs="Google Sans" w:eastAsia="Google Sans" w:hAnsi="Google Sans"/>
                <w:color w:val="1f1f1f"/>
                <w:shd w:fill="auto" w:val="clear"/>
                <w:rtl w:val="0"/>
              </w:rPr>
              <w:t xml:space="preserve">. Execução de ataques aéreos coordenados de precisão contra mais de 200 alvos simultâneos.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Escalada massiva; neutralização de centros de comando e controle, infraestrutura nuclear e complexos de produção de mísseis/drones nas regiões de Teerã, Shiraz e Tabriz.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 de Fevereiro de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Israel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Ataque direcionado à cúpula do regime iraniano, resultando em impacto direto na liderança suprema.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Morte confirmada do então Líder Supremo, aiatolá Ali Khamenei. Sobrevivência estreita do sucessor e atual Líder Supremo, Mojtaba Khamenei.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 a 16 de Março de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Israel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Continuação da campanha de assassinatos seletivos ("decapitação") contra altos oficiais do Irã e de seus </w:t>
            </w:r>
            <w:r w:rsidDel="00000000" w:rsidR="00000000" w:rsidRPr="00000000">
              <w:rPr>
                <w:rFonts w:ascii="Google Sans" w:cs="Google Sans" w:eastAsia="Google Sans" w:hAnsi="Google Sans"/>
                <w:i w:val="1"/>
                <w:iCs w:val="1"/>
                <w:color w:val="1f1f1f"/>
                <w:shd w:fill="auto" w:val="clear"/>
                <w:rtl w:val="0"/>
              </w:rPr>
              <w:t xml:space="preserve">proxies</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Eliminação de Ali Larijani (Secretário do Conselho Supremo de Segurança Nacional) e de Gholamreza Soleimani (Comandante da milícia Basij, subordinada à IRGC).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 a 16 de Março de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Irã (IRGC)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Início e sustentação da campanha retaliatória batizada como "Verdadeira Promessa-4" (</w:t>
            </w:r>
            <w:r w:rsidDel="00000000" w:rsidR="00000000" w:rsidRPr="00000000">
              <w:rPr>
                <w:rFonts w:ascii="Google Sans" w:cs="Google Sans" w:eastAsia="Google Sans" w:hAnsi="Google Sans"/>
                <w:i w:val="1"/>
                <w:iCs w:val="1"/>
                <w:color w:val="1f1f1f"/>
                <w:shd w:fill="auto" w:val="clear"/>
                <w:rtl w:val="0"/>
              </w:rPr>
              <w:t xml:space="preserve">True Promise-4</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Lançamento de ataques com mísseis balísticos e enxames de drones (UAVs) contra instalações militares e civis em Israel, EAU, Arábia Saudita, Bahrein, Catar, Kuwait e bases dos EUA no Iraque (Bagdá).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 a 16 de Março de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Irã (Força Naval da IRGC)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Interdição tática e fechamento efetivo do tráfego marítimo no Estreito de Ormuz.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Colapso logístico afetando 20% a 30% do trânsito global de energia. Exceção seletiva garantida a navios petroleiros com destino à China. O preço do petróleo bruto ultrapassa a marca de 100 dólares por barril.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 a 17 de Março de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Israel e Hezbollah (Líbano)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Intensificação dos confrontos na fronteira norte de Israel. Ataques preventivos da IDF e resposta com foguetes pelo Hezbollah.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IDF reporta "resultados preventivos significativos". Ferimentos leves relatados entre soldados israelenses durante incidentes operacionais. Comunidades do norte de Israel alvejadas.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 de Março de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EUA e Comunidade Internacional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Manobras diplomáticas do presidente dos EUA, Donald Trump, para formar uma coalizão naval internacional visando a reabertura forçada do Estreito de Ormuz.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Recusa ou hesitação sistêmica por parte de aliados tradicionais, incluindo membros da OTAN, além de Japão, Coreia do Sul e China, demonstrando fragmentação nas alianças de segurança marítima.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Matriz de Vetores de Ataque e Degradação de Infraestrutura</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análise forense da escolha de alvos revela as prioridades estratégicas inerentes a cada coalizão. A assimetria do conflito dita que, enquanto Israel e os EUA buscam a castração da capacidade tecnológica e militar do Irã, Teerã foca na indução de dor econômica intolerável aos aliados regionais do ocidente.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Entidade Atacante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Categorias de Alvos Primários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Localizações Geográficas e Ativos Específicos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Sistemas de Armas e Táticas Empregadas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Avaliação de Danos e Baixas Confirmadas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Fontes de Inteligência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Coalizão EUA-Israel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Cadeia de Comando (C2), Programas Nucleares, Fábricas de Mísseis e Drones (UAVs)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Teerã, Shiraz, Tabriz, Aeroporto de Mehrabad (Irã)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Ataques aéreos de alta precisão técnica (</w:t>
            </w:r>
            <w:r w:rsidDel="00000000" w:rsidR="00000000" w:rsidRPr="00000000">
              <w:rPr>
                <w:rFonts w:ascii="Google Sans" w:cs="Google Sans" w:eastAsia="Google Sans" w:hAnsi="Google Sans"/>
                <w:i w:val="1"/>
                <w:iCs w:val="1"/>
                <w:color w:val="1f1f1f"/>
                <w:shd w:fill="auto" w:val="clear"/>
                <w:rtl w:val="0"/>
              </w:rPr>
              <w:t xml:space="preserve">precision strikes</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Destruição de uma aeronave estratégica no Aeroporto de Mehrabad (usada pela liderança). Eliminação do aiatolá Ali Khamenei, Ali Larijani e Gholamreza Soleimani. Degradação severa da infraestrutura cibernética e de vigilância atrelada à produção de drones.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República Islâmica do Irã (IRGC)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Infraestrutura Energética e de Hidrocarbonetos, Instalações Militares dos EUA, Alvos Civis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Emirados Árabes Unidos (Complexo Petrolífero de Fujairah), Israel, Instalações diplomáticas em Bagdá (Iraque)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Mísseis balísticos de médio alcance de combustível sólido "Sejjil", Veículos Aéreos Não Tripulados (UAVs/Drones).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Incêndios massivos em parques de tanques de óleo em Fujairah; fechamento temporário do espaço aéreo em Dubai e Abu Dhabi; fatalidade civil confirmada nos EAU. Interrupção operacional severa.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Forças Interpostas (Hezbollah)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Comunidades Civis Israelenses, Posições de Infantaria da IDF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Região Norte de Israel e Sul do Líbano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Baterias de foguetes, enxames de UAVs.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Danos estruturais não especificados em comunidades do norte; soldados da IDF com ferimentos leves.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Análise Operacional Avançada e Implicações Geopolíticas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dissecção da "Operação Epic Fury" e da contra-ofensiva "Verdadeira Promessa-4" fornece a base para compreender como a arquitetura de dissuasão do Oriente Médio ruiu e como o risco sistêmico está sendo propagado para fora do teatro de guerra físico.</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Doutrina da Decapitação e o Vácuo de Poder Interno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escopo operacional da Operação Epic Fury transcende a mera degradação de capacidades de projeção de força; trata-se de uma estratégia sistemática e deliberada de decapitação civil e militar.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seleção de mais de 200 sítios de infraestrutura crítica no dia 28 de fevereiro denota um nível de inteligência de precisão acumulada ao longo de anos por parte dos EUA e de Israel. Ao visar simultaneamente instalações nucleares, complexos de desenvolvimento de mísseis em Tabriz e Shiraz, e o centro de gravidade do poder político em Teerã, a coalizão buscou induzir uma paralisia cognitiva na liderança iraniana.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aspecto mais desestabilizador desta campanha é o sucesso letal da eliminação de figuras-chave. A morte do então Líder Supremo aiatolá Ali Khamenei representou um abalo tectônico na continuidade institucional da República Islâmica.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Somada a isso, a morte de Ali Larijani, Secretário do Conselho Supremo de Segurança Nacional, removeu um arquiteto fundamental da política externa e da inteligência estratégica do Irã.</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Talvez ainda mais crítico para a estabilidade interna do regime seja o assassinato de Gholamreza Soleimani, comandante da milícia Basij.</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Basij, sendo uma força paramilitar auxiliar submetida à Guarda Revolucionária (IRGC), é a principal ferramenta do Estado iraniano para a supressão de dissidência interna e controle social. Sua ausência no comando sugere uma extrema vulnerabilidade a levantes domésticos em um momento em que a coesão nacional está sob pressão de ataques aéreos massivos.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destruição de uma aeronave estratégica no Aeroporto de Mehrabad, frequentemente utilizada pela cúpula do regime, é um indicativo tático de que a força aérea israelense conseguiu negar ao governo iraniano a capacidade logística básica de evacuação ou comando móvel.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No entanto, o elemento de resiliência que previne o colapso total do Estado iraniano é a sobrevivência de Mojtaba Khamenei à mesma série de ataques, permitindo uma transição rápida (ainda que sob fogo) e a manutenção de uma cadeia de comando minimamente funcional para autorizar operações retaliatórias.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Guerra de Informação e Disputas Narrativas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vácuo gerado pela confusão e destruição física, o domínio informacional emergiu como um campo de batalha secundário imediato. O gerenciamento de percepção é vital para a sobrevivência de um regime sob cerco. Isso fica evidente nas tentativas da mídia estatal iraniana de negar veementemente a morte de Ali Larijani, através da divulgação de uma suposta carta de condolências manuscrita atribuída a ele.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disseminação de provas de vida artificiais ou forjadas visa mitigar o pânico interno e projetar uma ilusão de invulnerabilidade e ordem de comando contínua. Do lado oposto, Israel enfrentou campanhas semelhantes de desinformação cibernética, com autoridades sendo forçadas a confirmar o </w:t>
      </w:r>
      <w:r w:rsidDel="00000000" w:rsidR="00000000" w:rsidRPr="00000000">
        <w:rPr>
          <w:rFonts w:ascii="Google Sans" w:cs="Google Sans" w:eastAsia="Google Sans" w:hAnsi="Google Sans"/>
          <w:i w:val="1"/>
          <w:iCs w:val="1"/>
          <w:color w:val="1f1f1f"/>
          <w:rtl w:val="0"/>
        </w:rPr>
        <w:t xml:space="preserve">status</w:t>
      </w:r>
      <w:r w:rsidDel="00000000" w:rsidR="00000000" w:rsidRPr="00000000">
        <w:rPr>
          <w:rFonts w:ascii="Google Sans" w:cs="Google Sans" w:eastAsia="Google Sans" w:hAnsi="Google Sans"/>
          <w:color w:val="1f1f1f"/>
          <w:rtl w:val="0"/>
        </w:rPr>
        <w:t xml:space="preserve"> ativo e vivo do primeiro-ministro Benjamin Netanyahu para combater rumores persistentes sobre sua morte.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Para um analista de inteligência, esses vetores de desinformação sinalizam uma vulnerabilidade aguda em ambos os governos quanto à manutenção da legitimidade e da moral pública durante conflitos de alta atrito.</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Assimetria da Operação Verdadeira Promessa-4 e o Míssil Sejjil</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resposta operacional de Teerã, a Operação "Verdadeira Promessa-4", demonstra uma recalibração tática profunda. Reconhecendo a impossibilidade de manter um confronto aéreo simétrico com os caças de quinta geração dos EUA e de Israel, a IRGC recorreu ao seu arsenal de negação de área e projeção de poder stand-off.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Um elemento definidor desta campanha é o uso ostensivo do míssil balístico de médio alcance "Sejjil".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 míssil Sejjil utiliza propulsão de combustível sólido, o que constitui um diferencial tecnológico de importância crítica. Diferentemente dos mísseis de combustível líquido, que requerem horas de preparação conspícua (suscetível a detecção por satélites de reconhecimento e consequente destruição preventiva), os mísseis de combustível sólido podem ser lançados em questão de minutos a partir de plataformas móveis. Isso reduz a janela de alerta e a eficácia dos sistemas de defesa antimíssil de Israel e dos aliados ocidentais.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escolha dos alvos pela IRGC não foi ditada por pura vingança militar, mas por pragmatismo geoeconômico. Ao focar no complexo petrolífero de Fujairah nos Emirados Árabes Unidos, o Irã atacou não apenas um Estado inimigo, mas a própria estabilidade do mercado de capitais.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Os incêndios nos parques de tanques e o fechamento temporário dos espaços aéreos de Dubai e Abu Dhabi forçaram a realocação de rotas logísticas globais, provando o conceito de que Teerã pode, à sua vontade, impor um imposto inflacionário sobre toda a economia do Ocidente e dos países do Conselho de Cooperação do Golfo (CCG).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presença de vítimas civis nos EAU adiciona complexidade legal e humanitária, polarizando ainda mais a diplomacia regional.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Além do flanco de energia, as forças iranianas conduziram ataques contra instalações diplomáticas dos EUA em Bagdá, Iraque, buscando inviabilizar a coordenação política de Washington na Mesopotâmia.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Estrangulamento Marítimo: A Crise do Estreito de Ormuz e o Choque Macroeconômico Sistêmico</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desenvolvimento mais catastrófico do conflito para o setor bancário da União Europeia não reside nos ataques com mísseis sobre o Levante, mas no marfim aquático que conecta o Golfo Pérsico ao Oceano Índico: o Estreito de Ormuz. Ao instituir uma restrição efetiva e o fechamento desta via navegável, o Irã engajou a economia mundial em um nível não visto desde os choques do petróleo da década de 1970.</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Mecânica e Dimensionamento do Bloqueio Marítimo</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Historicamente, o Estreito de Ormuz facilita o fluxo ininterrupto de aproximadamente 20% a 30% do trânsito global de energia, abrigando a infraestrutura primária de escoamento para o petróleo da Arábia Saudita, Kuwait, Iraque, Bahrein e dos Emirados Árabes Unidos.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decisão da República Islâmica de usar a Marinha da IRGC e baterias de mísseis antinavio costeiras para impor um bloqueio é uma manobra defensiva e ofensiva simultânea, calculada para punir as potências estrangeiras que apoiam as ações de Israel e dos EUA. O efeito imediato no mercado de </w:t>
      </w:r>
      <w:r w:rsidDel="00000000" w:rsidR="00000000" w:rsidRPr="00000000">
        <w:rPr>
          <w:rFonts w:ascii="Google Sans" w:cs="Google Sans" w:eastAsia="Google Sans" w:hAnsi="Google Sans"/>
          <w:i w:val="1"/>
          <w:iCs w:val="1"/>
          <w:color w:val="1f1f1f"/>
          <w:rtl w:val="0"/>
        </w:rPr>
        <w:t xml:space="preserve">commodities</w:t>
      </w:r>
      <w:r w:rsidDel="00000000" w:rsidR="00000000" w:rsidRPr="00000000">
        <w:rPr>
          <w:rFonts w:ascii="Google Sans" w:cs="Google Sans" w:eastAsia="Google Sans" w:hAnsi="Google Sans"/>
          <w:color w:val="1f1f1f"/>
          <w:rtl w:val="0"/>
        </w:rPr>
        <w:t xml:space="preserve"> foi brutal: a precificação do barril de petróleo bruto foi forçada acima da barreira psicológica de 100 dólares, precipitando uma cascata de revisão de precificação de derivativos em todas as bolsas de energia.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Contudo, a inteligência mais crítica extraída deste evento é a assimetria na aplicação do embargo. Os relatórios indicam categoricamente que o Irã tem permitido a "passagem seletiva" para navios petroleiros com destino à China (RPC).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"exceção chinesa" é uma obra-prima de estratégia geopolítica subversiva. Ao garantir que o suprimento de energia para a maior base industrial do mundo (e principal aliada comercial do Irã) permaneça ileso, Teerã assegura o patrocínio diplomático de Pequim no Conselho de Segurança da ONU e mantém uma linha de financiamento externo. Para a economia da União Europeia e dos Estados Unidos, isso significa a internalização integral dos custos inflacionários, criando um diferencial competitivo maciço onde os custos de produção asiáticos permanecem artificialmente estáveis, enquanto os fabricantes europeus enfrentam choques tarifários incapacitantes.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Outro detalhe fundamental que ilumina a estratégia iraniana foi a escolha de atacar as instalações petrolíferas de Fujairah (EAU).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Fujairah abriga terminais petrolíferos cruciais no Golfo de Omã, fisicamente localizados após o Estreito de Ormuz. Historicamente, este terminal servia como um </w:t>
      </w:r>
      <w:r w:rsidDel="00000000" w:rsidR="00000000" w:rsidRPr="00000000">
        <w:rPr>
          <w:rFonts w:ascii="Google Sans" w:cs="Google Sans" w:eastAsia="Google Sans" w:hAnsi="Google Sans"/>
          <w:i w:val="1"/>
          <w:iCs w:val="1"/>
          <w:color w:val="1f1f1f"/>
          <w:rtl w:val="0"/>
        </w:rPr>
        <w:t xml:space="preserve">bypass</w:t>
      </w:r>
      <w:r w:rsidDel="00000000" w:rsidR="00000000" w:rsidRPr="00000000">
        <w:rPr>
          <w:rFonts w:ascii="Google Sans" w:cs="Google Sans" w:eastAsia="Google Sans" w:hAnsi="Google Sans"/>
          <w:color w:val="1f1f1f"/>
          <w:rtl w:val="0"/>
        </w:rPr>
        <w:t xml:space="preserve"> (desvio) logístico seguro, através do qual o petróleo do Golfo poderia ser exportado caso o Estreito de Ormuz fosse bloqueado. Ao golpear Fujairah simultaneamente ao fechamento de Ormuz, a IRGC destruiu ativamente o "plano B" geoeconômico dos países do Golfo, solidificando o estrangulamento energético.</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Fracasso da Coalizão Naval e o Isolamento de Washington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crise no Estreito revelou, de forma contundente, as profundas fissuras e o colapso da solidariedade dentro do bloco de segurança ocidental. O chamamento desesperado do presidente dos Estados Unidos, Donald Trump, exortando aliados a comporem uma força-tarefa naval multinacional para desobstruir e policiar o Estreito, foi recebido com silêncio diplomático ou recusas abertas.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relutância de parceiros basilares da OTAN, e o declínio formal de nações intensamente dependentes de energia do Oriente Médio como o Japão, a Coreia do Sul e a própria China, demonstram um recálculo dramático do risco geopolítico.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Estas nações concluíram que engajar militarmente a Guarda Revolucionária no ambiente confinado e minado do Golfo Pérsico traria um risco inaceitável de danos aos seus próprios ativos navais e exacerbaria a instabilidade econômica, superando qualquer benefício teórico de alinhar-se à política americana. Para uma instituição bancária europeia avaliando o risco geopolítico, este evento cristaliza uma nova realidade: os Estados Unidos já não possuem o capital político, nem o endosso multilateral, necessário para garantir unilateralmente a liberdade de navegação nas artérias logísticas vitais do globo. Isso exige a reavaliação de todos os perfis de risco em seguros marítimos e rotas comerciais dependentes de vias marítimas contestadas.</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Metodologia de Inteligência e a Ameaça Cibernética Latente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Nesta conjuntura de guerra total em múltiplos domínios, a ausência paradoxal de indicadores cibernéticos ativos nos dados primários extraídos exige uma profunda análise metodológica e uma revisão do modelo de ameaças enfrentado pelo setor bancário europeu.</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Lacuna de Inteligência: Análise dos Parâmetros do Silobreaker</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 relatórios de inteligência baseados na plataforma de monitoramento Silobreaker, executados pelo analista "tiagojose Vieira" entre as 11:00 de 16 de março e as 11:49 de 17 de março de 2026, indicaram que informações referentes a guerra cibernética, infraestrutura digital, telecomunicações e redes de vigilância estavam "indisponíveis no documento".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No entanto, uma exegese rigorosa da ontologia de pesquisa utilizada (a sintaxe booleana do alerta) explica estruturalmente este vácuo informacional.</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busca foi configurada unicamente para rastrear conflitos cinéticos, utilizando restrições como: INTITLE entitytype:"Incident" AND NOT (doctype:"Forum Post" OR doctype:"Chat Digest" OR doctype:"Paste") AND fromdate:"-24h" focada no tema "Locations and Physical Warfare" ou "Attack Types Physical Warfare".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exclusão deliberada de documentos do tipo "Forum Post" (Fóruns), "Chat Digest" (Canais de bate-papo, tipicamente Telegram ou Discord) e "Paste" (Sites de colagem temporária como Pastebin) no filtro de pesquisa suprime ativamente a totalidade do ambiente natural de coleta de CTI (Cyber Threat Intelligence). Atores de ameaça estatais iranianos (APT - Advanced Persistent Threats), grupos de </w:t>
      </w:r>
      <w:r w:rsidDel="00000000" w:rsidR="00000000" w:rsidRPr="00000000">
        <w:rPr>
          <w:rFonts w:ascii="Google Sans" w:cs="Google Sans" w:eastAsia="Google Sans" w:hAnsi="Google Sans"/>
          <w:i w:val="1"/>
          <w:iCs w:val="1"/>
          <w:color w:val="1f1f1f"/>
          <w:rtl w:val="0"/>
        </w:rPr>
        <w:t xml:space="preserve">hacktivismo</w:t>
      </w:r>
      <w:r w:rsidDel="00000000" w:rsidR="00000000" w:rsidRPr="00000000">
        <w:rPr>
          <w:rFonts w:ascii="Google Sans" w:cs="Google Sans" w:eastAsia="Google Sans" w:hAnsi="Google Sans"/>
          <w:color w:val="1f1f1f"/>
          <w:rtl w:val="0"/>
        </w:rPr>
        <w:t xml:space="preserve"> patrocinados pelo Estado (como as fachadas usadas em operações históricas como MuddyWater, APT33 ou Phosphorus) e coletivos aliados operam, coordenam e divulgam seus sucessos precisamente por meio desses canais de comunicação paralelos, em formato digital, fóruns na </w:t>
      </w:r>
      <w:r w:rsidDel="00000000" w:rsidR="00000000" w:rsidRPr="00000000">
        <w:rPr>
          <w:rFonts w:ascii="Google Sans" w:cs="Google Sans" w:eastAsia="Google Sans" w:hAnsi="Google Sans"/>
          <w:i w:val="1"/>
          <w:iCs w:val="1"/>
          <w:color w:val="1f1f1f"/>
          <w:rtl w:val="0"/>
        </w:rPr>
        <w:t xml:space="preserve">dark web</w:t>
      </w:r>
      <w:r w:rsidDel="00000000" w:rsidR="00000000" w:rsidRPr="00000000">
        <w:rPr>
          <w:rFonts w:ascii="Google Sans" w:cs="Google Sans" w:eastAsia="Google Sans" w:hAnsi="Google Sans"/>
          <w:color w:val="1f1f1f"/>
          <w:rtl w:val="0"/>
        </w:rPr>
        <w:t xml:space="preserve"> e pastas criptografadas.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Conclui-se, de forma axiomática, que a "inexistência" de atividade cibernética no relatório de monitoramento não constitui evidência da ausência de operações cibernéticas ofensivas, mas sim o reflexo de um escopo de coleção hiper-focado em metadados de guerra balística e física.</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Modelagem da Retaliação Cibernética Assimétrica</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 doutrina militar contemporânea, a "guerra híbrida" dita que componentes cibernéticos, físicos, eletrônicos e de telecomunicações não podem ser segmentados em silos isolados.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Operação Epic Fury visou ostensivamente a produção e o lançamento de drones.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Drones de nível militar e matrizes de vigilância são essencialmente redes em voo, intrinsecamente conectadas a centros de telecomunicação avançados e infraestrutura digital. A destruição física destas instalações constitui a degradação da "camada cibernética cinemática" do Irã.</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Face à maciça disparidade de forças convencionais após a campanha de bombardeio dos EUA/Israel, e impulsionado pelo imperativo existencial de sobrevivência interna face às perdas de liderança no Basij e no aparato de inteligência (Khamenei, Larijani, Soleimani), o Irã está estruturalmente forçado a transferir seu esforço de guerra para o domínio cibernético. A lógica é simples e impiedosa: o ataque físico do Irã no Golfo esbarra nos limites de seus estoques de mísseis balísticos e no espectro da aniquilação total pela resposta nuclear latente de Israel; a guerra cibernética, no entanto, oferece atrito de baixo custo, negabilidade plausível e capacidade irrestrita de infligir danos no exterior.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Historicamente, quando confrontado com ataques aéreos pesados e isolamento diplomático extremo, o Irã empregou suas capacidades cibernéticas não contra a infraestrutura militar pesada do Pentágono, que é altamente resiliente, mas sim contra alvos econômicos brandos (</w:t>
      </w:r>
      <w:r w:rsidDel="00000000" w:rsidR="00000000" w:rsidRPr="00000000">
        <w:rPr>
          <w:rFonts w:ascii="Google Sans" w:cs="Google Sans" w:eastAsia="Google Sans" w:hAnsi="Google Sans"/>
          <w:i w:val="1"/>
          <w:iCs w:val="1"/>
          <w:color w:val="1f1f1f"/>
          <w:rtl w:val="0"/>
        </w:rPr>
        <w:t xml:space="preserve">soft targets</w:t>
      </w:r>
      <w:r w:rsidDel="00000000" w:rsidR="00000000" w:rsidRPr="00000000">
        <w:rPr>
          <w:rFonts w:ascii="Google Sans" w:cs="Google Sans" w:eastAsia="Google Sans" w:hAnsi="Google Sans"/>
          <w:color w:val="1f1f1f"/>
          <w:rtl w:val="0"/>
        </w:rPr>
        <w:t xml:space="preserve">) do setor privado no ocidente, em especial bancos globais e complexos de energia. É imperativo que os analistas prevejam o acionamento de unidades APT associadas ao Ministério de Inteligência e Segurança (MOIS) iraniano ou à divisão cibernética da IRGC.</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 vetores prováveis incluem a ressurreição de malware do tipo </w:t>
      </w:r>
      <w:r w:rsidDel="00000000" w:rsidR="00000000" w:rsidRPr="00000000">
        <w:rPr>
          <w:rFonts w:ascii="Google Sans" w:cs="Google Sans" w:eastAsia="Google Sans" w:hAnsi="Google Sans"/>
          <w:i w:val="1"/>
          <w:iCs w:val="1"/>
          <w:color w:val="1f1f1f"/>
          <w:rtl w:val="0"/>
        </w:rPr>
        <w:t xml:space="preserve">wiper</w:t>
      </w:r>
      <w:r w:rsidDel="00000000" w:rsidR="00000000" w:rsidRPr="00000000">
        <w:rPr>
          <w:rFonts w:ascii="Google Sans" w:cs="Google Sans" w:eastAsia="Google Sans" w:hAnsi="Google Sans"/>
          <w:color w:val="1f1f1f"/>
          <w:rtl w:val="0"/>
        </w:rPr>
        <w:t xml:space="preserve"> (limpadores de disco), reminiscente das famosas campanhas do vírus Shamoon, mas adaptadas para contornar protocolos de detecção e resposta de endpoints (EDR) modernos. Tais malwares não visam roubar dados (espionagem), mas infligir aniquilação sistêmica, apagando servidores centrais, corrompendo registros mestre de inicialização e paralisando operações financeiras de atacado. Outro vetor esperado consiste em campanhas maciças de Negação de Serviço Distribuída (DDoS) aplicadas contra infraestruturas de autenticação bancária, serviços aos clientes europeus (Internet Banking, canais corporativos) e os </w:t>
      </w:r>
      <w:r w:rsidDel="00000000" w:rsidR="00000000" w:rsidRPr="00000000">
        <w:rPr>
          <w:rFonts w:ascii="Google Sans" w:cs="Google Sans" w:eastAsia="Google Sans" w:hAnsi="Google Sans"/>
          <w:i w:val="1"/>
          <w:iCs w:val="1"/>
          <w:color w:val="1f1f1f"/>
          <w:rtl w:val="0"/>
        </w:rPr>
        <w:t xml:space="preserve">gateways</w:t>
      </w:r>
      <w:r w:rsidDel="00000000" w:rsidR="00000000" w:rsidRPr="00000000">
        <w:rPr>
          <w:rFonts w:ascii="Google Sans" w:cs="Google Sans" w:eastAsia="Google Sans" w:hAnsi="Google Sans"/>
          <w:color w:val="1f1f1f"/>
          <w:rtl w:val="0"/>
        </w:rPr>
        <w:t xml:space="preserve"> de comunicação interbancária com arquiteturas sensíveis, como conexões de API da rede SWIFT. O objetivo subjacente da atividade cibernética patrocinada pelo Estado iraniano nos próximos meses será infligir um colapso prolongado na confiança dos mercados de capitais europeus e americanos como tática de pressão coerciva para forçar o fim dos ataques de Israel e dos EUA.</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Consequências Sistêmicas para a Arquitetura Bancária da União Europeia</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 eventos cinéticos consolidados nesta linha de base induzem riscos multivariados e inter-relacionados de contágio geoeconômico. Instituições bancárias operando globalmente a partir da União Europeia enfrentam impactos de balanço significativos derivados de interrupções na cadeia de comércio global, choques nas diretrizes de liquidez de Basel, volatilidade de taxas de juros e o espectro de regulamentações complexas de sanções secundárias.</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Choque Inflacionário, Risco Soberano e Políticas do BCE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paralisação parcial do Estreito de Ormuz (com 20% a 30% do fluxo global bloqueado e redirecionamento exclusivo para a Ásia) introduziu um choque não-transitório no componente energético da cesta de inflação da Eurozona, simbolizado pela ascensão imediata do petróleo a um patamar superior a 100 dólares o barril.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Uma vez que a União Europeia é fundamentalmente carente de independência em hidrocarbonetos em comparação com os Estados Unidos da América, esta externalidade tem um efeito profundo e regressivo nas cadeias produtivas europeias.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inflação puxada pelos custos (</w:t>
      </w:r>
      <w:r w:rsidDel="00000000" w:rsidR="00000000" w:rsidRPr="00000000">
        <w:rPr>
          <w:rFonts w:ascii="Google Sans" w:cs="Google Sans" w:eastAsia="Google Sans" w:hAnsi="Google Sans"/>
          <w:i w:val="1"/>
          <w:iCs w:val="1"/>
          <w:color w:val="1f1f1f"/>
          <w:rtl w:val="0"/>
        </w:rPr>
        <w:t xml:space="preserve">cost-push inflation</w:t>
      </w:r>
      <w:r w:rsidDel="00000000" w:rsidR="00000000" w:rsidRPr="00000000">
        <w:rPr>
          <w:rFonts w:ascii="Google Sans" w:cs="Google Sans" w:eastAsia="Google Sans" w:hAnsi="Google Sans"/>
          <w:color w:val="1f1f1f"/>
          <w:rtl w:val="0"/>
        </w:rPr>
        <w:t xml:space="preserve">) cria um cenário oneroso para o Banco Central Europeu (BCE), que se verá instado a suspender eventuais trajetórias de flexibilização monetária e forçado a manter ou aumentar o aperto quantitativo em meio à estagnação do crescimento (um ambiente clássico de estagflação). As consequências para uma instituição bancária europeia incluem a deterioração imediata e tangível das margens de rentabilidade de portfólios inteiros de empréstimos corporativos. Setores que possuem sensibilidade aguda aos custos de energia, combustíveis ou petroquímicos — transporte logístico pesado, companhias aéreas comerciais europeias, agricultura avançada e manufatura petroquímica — enfrentarão rapidamente escassez de fluxo de caixa, exigindo refinanciamento de urgência, sofrendo rebaixamento das notações de risco de crédito, ou desencadeando processos formais de calote técnico e liquidação.</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Neste cenário altamente volátil de custos em disparada, economias de mercados emergentes periféricos da União Europeia que estão alavancadas em dólares ou euros podem ser forçadas a recorrer a eventos de falência soberana. O choque de preços do petróleo atua como um pretexto final de estresse fiscal, impactando a carteira de dívida soberana e forçando provisões substanciais para devedores duvidosos nos balanços da instituição bancária.</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Contágio na Cadeia de Suprimentos e </w:t>
      </w:r>
      <w:r w:rsidDel="00000000" w:rsidR="00000000" w:rsidRPr="00000000">
        <w:rPr>
          <w:rFonts w:ascii="Google Sans" w:cs="Google Sans" w:eastAsia="Google Sans" w:hAnsi="Google Sans"/>
          <w:b w:val="1"/>
          <w:bCs w:val="1"/>
          <w:i w:val="1"/>
          <w:iCs w:val="1"/>
          <w:color w:val="1f1f1f"/>
          <w:sz w:val="28"/>
          <w:szCs w:val="28"/>
          <w:rtl w:val="0"/>
        </w:rPr>
        <w:t xml:space="preserve">Trade Finance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repercussões dos ataques balísticos a complexos petrolíferos como Fujairah e o fechamento do espaço aéreo da península arábica em nós logísticos críticos como Abu Dhabi e Dubai se ramificam profundamente na infraestrutura de </w:t>
      </w:r>
      <w:r w:rsidDel="00000000" w:rsidR="00000000" w:rsidRPr="00000000">
        <w:rPr>
          <w:rFonts w:ascii="Google Sans" w:cs="Google Sans" w:eastAsia="Google Sans" w:hAnsi="Google Sans"/>
          <w:i w:val="1"/>
          <w:iCs w:val="1"/>
          <w:color w:val="1f1f1f"/>
          <w:rtl w:val="0"/>
        </w:rPr>
        <w:t xml:space="preserve">Trade Finance</w:t>
      </w:r>
      <w:r w:rsidDel="00000000" w:rsidR="00000000" w:rsidRPr="00000000">
        <w:rPr>
          <w:rFonts w:ascii="Google Sans" w:cs="Google Sans" w:eastAsia="Google Sans" w:hAnsi="Google Sans"/>
          <w:color w:val="1f1f1f"/>
          <w:rtl w:val="0"/>
        </w:rPr>
        <w:t xml:space="preserve"> (Financiamento Comercial) operada pela instituição financeira.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intermediação financeira, emissão de Cartas de Crédito Documentário (</w:t>
      </w:r>
      <w:r w:rsidDel="00000000" w:rsidR="00000000" w:rsidRPr="00000000">
        <w:rPr>
          <w:rFonts w:ascii="Google Sans" w:cs="Google Sans" w:eastAsia="Google Sans" w:hAnsi="Google Sans"/>
          <w:i w:val="1"/>
          <w:iCs w:val="1"/>
          <w:color w:val="1f1f1f"/>
          <w:rtl w:val="0"/>
        </w:rPr>
        <w:t xml:space="preserve">Letters of Credit</w:t>
      </w:r>
      <w:r w:rsidDel="00000000" w:rsidR="00000000" w:rsidRPr="00000000">
        <w:rPr>
          <w:rFonts w:ascii="Google Sans" w:cs="Google Sans" w:eastAsia="Google Sans" w:hAnsi="Google Sans"/>
          <w:color w:val="1f1f1f"/>
          <w:rtl w:val="0"/>
        </w:rPr>
        <w:t xml:space="preserve">), descontos de duplicatas para rotas comerciais que tocam no Mar da Arábia, no Golfo de Omã ou no Mar Vermelho, requer recalibração imediata. As companhias de resseguro no mercado global (notoriamente sediadas em grande parte em Londres ou na Europa continental) serão forçadas a revisar os prêmios por risco de guerra e proteção e indenização (P&amp;I) a valores astronomicamente proibitivos para qualquer embarcação que não exiba pavilhão chinês. O comércio que é essencialmente insuperável através destas águas será encalhado, congelando capital de giro das linhas corporativas financiadas, o que deflagrará estresses agudos de liquidez em clientes que dependem do capital bancário para preencher os déficits prolongados de transações interrompidas. Além disso, a mencionada assimetria no acesso energético ("Exceção Chinesa") prejudica drasticamente a competitividade sistêmica das indústrias manufatureiras europeias no cenário global.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Risco de Conformidade Regulamentar em Meio ao Fracasso de Coesão Naval</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repercussões diplomáticas na governança global devem ser quantificadas pelas mesas de conformidade financeira e governança institucional (</w:t>
      </w:r>
      <w:r w:rsidDel="00000000" w:rsidR="00000000" w:rsidRPr="00000000">
        <w:rPr>
          <w:rFonts w:ascii="Google Sans" w:cs="Google Sans" w:eastAsia="Google Sans" w:hAnsi="Google Sans"/>
          <w:i w:val="1"/>
          <w:iCs w:val="1"/>
          <w:color w:val="1f1f1f"/>
          <w:rtl w:val="0"/>
        </w:rPr>
        <w:t xml:space="preserve">Compliance</w:t>
      </w:r>
      <w:r w:rsidDel="00000000" w:rsidR="00000000" w:rsidRPr="00000000">
        <w:rPr>
          <w:rFonts w:ascii="Google Sans" w:cs="Google Sans" w:eastAsia="Google Sans" w:hAnsi="Google Sans"/>
          <w:color w:val="1f1f1f"/>
          <w:rtl w:val="0"/>
        </w:rPr>
        <w:t xml:space="preserve">). A recusa de aliados estratégicos, incluindo potências europeias chave, em unir-se à coalizão naval pleiteada pelo presidente americano Donald Trump no Estreito de Ormuz pode gerar graves fricções regulatórias nos canais diplomáticos ocidentais.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Observando que os EUA encontram resistência tática de seus aliados na projeção de força no Golfo, é altamente provável que o Departamento do Tesouro dos EUA e o </w:t>
      </w:r>
      <w:r w:rsidDel="00000000" w:rsidR="00000000" w:rsidRPr="00000000">
        <w:rPr>
          <w:rFonts w:ascii="Google Sans" w:cs="Google Sans" w:eastAsia="Google Sans" w:hAnsi="Google Sans"/>
          <w:i w:val="1"/>
          <w:iCs w:val="1"/>
          <w:color w:val="1f1f1f"/>
          <w:rtl w:val="0"/>
        </w:rPr>
        <w:t xml:space="preserve">Office of Foreign Assets Control</w:t>
      </w:r>
      <w:r w:rsidDel="00000000" w:rsidR="00000000" w:rsidRPr="00000000">
        <w:rPr>
          <w:rFonts w:ascii="Google Sans" w:cs="Google Sans" w:eastAsia="Google Sans" w:hAnsi="Google Sans"/>
          <w:color w:val="1f1f1f"/>
          <w:rtl w:val="0"/>
        </w:rPr>
        <w:t xml:space="preserve"> (OFAC) endureçam de forma punitiva a vigilância, abrangência e severidade de suas campanhas de sanções econômicas secundárias. Para a União Europeia, qualquer instituição bancária suspeita de processar ou liquidar inadvertidamente transações de fundos, cadeias de </w:t>
      </w:r>
      <w:r w:rsidDel="00000000" w:rsidR="00000000" w:rsidRPr="00000000">
        <w:rPr>
          <w:rFonts w:ascii="Google Sans" w:cs="Google Sans" w:eastAsia="Google Sans" w:hAnsi="Google Sans"/>
          <w:i w:val="1"/>
          <w:iCs w:val="1"/>
          <w:color w:val="1f1f1f"/>
          <w:rtl w:val="0"/>
        </w:rPr>
        <w:t xml:space="preserve">supply chain</w:t>
      </w:r>
      <w:r w:rsidDel="00000000" w:rsidR="00000000" w:rsidRPr="00000000">
        <w:rPr>
          <w:rFonts w:ascii="Google Sans" w:cs="Google Sans" w:eastAsia="Google Sans" w:hAnsi="Google Sans"/>
          <w:color w:val="1f1f1f"/>
          <w:rtl w:val="0"/>
        </w:rPr>
        <w:t xml:space="preserve"> ou fretamento naval associado, mesmo indiretamente, à República Islâmica do Irã, enfrentará o risco imediato de sanções e perda do acesso compensatório interbancário em dólar norte-americano. A incapacidade de monitorar e identificar as estruturas corporativas opacas que contornam o embargo marítimo imposto no Golfo traduz-se em um risco letal e intransigente em nível regulatório.</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Síntese Diretiva: Recomendações Estratégicas para as Equipes de Geopolítica, CISO e Gestão de Risco</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Dado que o cenário militar delineado acima impulsiona o Oriente Médio a uma trajetória contínua de volatilidade, as funções operacionais essenciais do banco europeu devem ser blindadas tanto na dimensão cibernética quanto nos balanços macroeconômicos. Extraindo e consolidando a inteligência estratégica fornecida até 17 de março de 2026, propõem-se as seguintes intervenções acionáveis de contingência.</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Diretrizes de Ação para Segurança da Informação (CISO) e Operações de Cibersegurança (SOC)</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Adoção de Postura de Prontidão Máxima de Guerra Cibernética:</w:t>
      </w:r>
      <w:r w:rsidDel="00000000" w:rsidR="00000000" w:rsidRPr="00000000">
        <w:rPr>
          <w:rFonts w:ascii="Google Sans" w:cs="Google Sans" w:eastAsia="Google Sans" w:hAnsi="Google Sans"/>
          <w:color w:val="1f1f1f"/>
          <w:rtl w:val="0"/>
        </w:rPr>
        <w:t xml:space="preserve"> Determinar que a postura defensiva geral das redes da instituição não se baseie na falta de evidência imediata em fontes abertas (OSINT físico), mas assuma a premissa de engajamento adversário de dia zero de classe APT patrocinado por Estados (Irã). Autorizar o engajamento proativo de inteligência em repositórios da dark web ocultados do monitoramento genérico e forçar operações de busca contra anomalias internas nas redes de pagamento.</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Fortalecimento Radical dos Controles Perimetrais Geográficos e Segregação Lógica:</w:t>
      </w:r>
      <w:r w:rsidDel="00000000" w:rsidR="00000000" w:rsidRPr="00000000">
        <w:rPr>
          <w:rFonts w:ascii="Google Sans" w:cs="Google Sans" w:eastAsia="Google Sans" w:hAnsi="Google Sans"/>
          <w:color w:val="1f1f1f"/>
          <w:rtl w:val="0"/>
        </w:rPr>
        <w:t xml:space="preserve"> Instituir restrições severas sobre acessos de rede remotos não corporativos, suspendendo provisoriamente conectividades VPN anômalas. Bloquear imperativamente ou enviar para monitoramento profundo o roteamento de IPs e tráfego associado a domínios historicamente hospedados em infraestruturas iranianas, russas e pontos de hospedagem comprometidos no sudeste asiático, reconhecendo que operações iranianas ocultam ativamente suas origens de tráfego usando nós hospedeiros nos países vizinhos ou ocidentais vulneráveis.</w:t>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Expansão Implacável e Refinamento do Protocolo de Mitigação DDoS:</w:t>
      </w:r>
      <w:r w:rsidDel="00000000" w:rsidR="00000000" w:rsidRPr="00000000">
        <w:rPr>
          <w:rFonts w:ascii="Google Sans" w:cs="Google Sans" w:eastAsia="Google Sans" w:hAnsi="Google Sans"/>
          <w:color w:val="1f1f1f"/>
          <w:rtl w:val="0"/>
        </w:rPr>
        <w:t xml:space="preserve"> Realizar imediatamente testes práticos de validação da capacidade de transição à prova de falhas com provedores de mitigação de ataques cibernéticos baseados em volumetria e injeção semântica profunda. As plataformas digitais destinadas a transações de clientes </w:t>
      </w:r>
      <w:r w:rsidDel="00000000" w:rsidR="00000000" w:rsidRPr="00000000">
        <w:rPr>
          <w:rFonts w:ascii="Google Sans" w:cs="Google Sans" w:eastAsia="Google Sans" w:hAnsi="Google Sans"/>
          <w:i w:val="1"/>
          <w:iCs w:val="1"/>
          <w:color w:val="1f1f1f"/>
          <w:rtl w:val="0"/>
        </w:rPr>
        <w:t xml:space="preserve">retail</w:t>
      </w:r>
      <w:r w:rsidDel="00000000" w:rsidR="00000000" w:rsidRPr="00000000">
        <w:rPr>
          <w:rFonts w:ascii="Google Sans" w:cs="Google Sans" w:eastAsia="Google Sans" w:hAnsi="Google Sans"/>
          <w:color w:val="1f1f1f"/>
          <w:rtl w:val="0"/>
        </w:rPr>
        <w:t xml:space="preserve"> e corporativos, e, imperativamente, as arquiteturas de mensagens conectadas à SWIFT, devem demonstrar resiliência à inundação total e sustentada de requisições de servidores.</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Validação do Inventário de Sistemas Vitais Frente a Ameaças Destrutivas (</w:t>
      </w:r>
      <w:r w:rsidDel="00000000" w:rsidR="00000000" w:rsidRPr="00000000">
        <w:rPr>
          <w:rFonts w:ascii="Google Sans" w:cs="Google Sans" w:eastAsia="Google Sans" w:hAnsi="Google Sans"/>
          <w:b w:val="1"/>
          <w:bCs w:val="1"/>
          <w:i w:val="1"/>
          <w:iCs w:val="1"/>
          <w:color w:val="1f1f1f"/>
          <w:rtl w:val="0"/>
        </w:rPr>
        <w:t xml:space="preserve">Wiper</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Efetuar o isolamento de rede imediato de </w:t>
      </w:r>
      <w:r w:rsidDel="00000000" w:rsidR="00000000" w:rsidRPr="00000000">
        <w:rPr>
          <w:rFonts w:ascii="Google Sans" w:cs="Google Sans" w:eastAsia="Google Sans" w:hAnsi="Google Sans"/>
          <w:i w:val="1"/>
          <w:iCs w:val="1"/>
          <w:color w:val="1f1f1f"/>
          <w:rtl w:val="0"/>
        </w:rPr>
        <w:t xml:space="preserve">backups</w:t>
      </w:r>
      <w:r w:rsidDel="00000000" w:rsidR="00000000" w:rsidRPr="00000000">
        <w:rPr>
          <w:rFonts w:ascii="Google Sans" w:cs="Google Sans" w:eastAsia="Google Sans" w:hAnsi="Google Sans"/>
          <w:color w:val="1f1f1f"/>
          <w:rtl w:val="0"/>
        </w:rPr>
        <w:t xml:space="preserve"> da infraestrutura-chave imutável (</w:t>
      </w:r>
      <w:r w:rsidDel="00000000" w:rsidR="00000000" w:rsidRPr="00000000">
        <w:rPr>
          <w:rFonts w:ascii="Google Sans" w:cs="Google Sans" w:eastAsia="Google Sans" w:hAnsi="Google Sans"/>
          <w:i w:val="1"/>
          <w:iCs w:val="1"/>
          <w:color w:val="1f1f1f"/>
          <w:rtl w:val="0"/>
        </w:rPr>
        <w:t xml:space="preserve">Air-gapped</w:t>
      </w:r>
      <w:r w:rsidDel="00000000" w:rsidR="00000000" w:rsidRPr="00000000">
        <w:rPr>
          <w:rFonts w:ascii="Google Sans" w:cs="Google Sans" w:eastAsia="Google Sans" w:hAnsi="Google Sans"/>
          <w:color w:val="1f1f1f"/>
          <w:rtl w:val="0"/>
        </w:rPr>
        <w:t xml:space="preserve">). O SOC deve executar exercícios de mesa simulando simulações adversárias onde atores conseguiram acesso privilegiado de roteamento para implantar artefatos maliciosos de aniquilação permanente nos servidores, revisando o Tempo de Recuperação Operacional de subsistemas cruciais de livro razão (</w:t>
      </w:r>
      <w:r w:rsidDel="00000000" w:rsidR="00000000" w:rsidRPr="00000000">
        <w:rPr>
          <w:rFonts w:ascii="Google Sans" w:cs="Google Sans" w:eastAsia="Google Sans" w:hAnsi="Google Sans"/>
          <w:i w:val="1"/>
          <w:iCs w:val="1"/>
          <w:color w:val="1f1f1f"/>
          <w:rtl w:val="0"/>
        </w:rPr>
        <w:t xml:space="preserve">ledger</w:t>
      </w:r>
      <w:r w:rsidDel="00000000" w:rsidR="00000000" w:rsidRPr="00000000">
        <w:rPr>
          <w:rFonts w:ascii="Google Sans" w:cs="Google Sans" w:eastAsia="Google Sans" w:hAnsi="Google Sans"/>
          <w:color w:val="1f1f1f"/>
          <w:rtl w:val="0"/>
        </w:rPr>
        <w:t xml:space="preserve"> principal do banco) e reconciliação financeira em cenário de desastre destrutivo total e perda de integridade dos bancos de dados ativos primários.</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Diretrizes de Ação para a Comissão de Geopolítica e Gestão de Risco Transversal</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Reavaliação Sistêmica dos Portfólios de Crédito Relacionados à Cadeia de Valor:</w:t>
      </w:r>
      <w:r w:rsidDel="00000000" w:rsidR="00000000" w:rsidRPr="00000000">
        <w:rPr>
          <w:rFonts w:ascii="Google Sans" w:cs="Google Sans" w:eastAsia="Google Sans" w:hAnsi="Google Sans"/>
          <w:color w:val="1f1f1f"/>
          <w:rtl w:val="0"/>
        </w:rPr>
        <w:t xml:space="preserve"> Reconfigurar imediatamente os parâmetros base de todos os modelos estocásticos macroeconômicos e avaliações de crédito, assumindo o valor consolidado estrutural do barril de petróleo a valores substancialmente maiores que 100 dólares em longo prazo, englobando choques energéticos de suprimento duradouro na precificação do custo de insumos da base europeia de fomento bancário. Modificar os prêmios por risco financeiro a favor do banco sobre carteiras que apresentem dependência endêmica de derivados de petróleo em suas margens brutas, tais como fretes pesados, transporte logístico ou química pesada europeia afetada pelas distorções na vantagem de fabricação no comércio internacional em virtude do acesso chinês desobstruído via o Estreito de Ormuz.</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Auditoria Restritiva e Risco Legal de Sanções (Funções de </w:t>
      </w:r>
      <w:r w:rsidDel="00000000" w:rsidR="00000000" w:rsidRPr="00000000">
        <w:rPr>
          <w:rFonts w:ascii="Google Sans" w:cs="Google Sans" w:eastAsia="Google Sans" w:hAnsi="Google Sans"/>
          <w:b w:val="1"/>
          <w:bCs w:val="1"/>
          <w:i w:val="1"/>
          <w:iCs w:val="1"/>
          <w:color w:val="1f1f1f"/>
          <w:rtl w:val="0"/>
        </w:rPr>
        <w:t xml:space="preserve">Compliance</w:t>
      </w:r>
      <w:r w:rsidDel="00000000" w:rsidR="00000000" w:rsidRPr="00000000">
        <w:rPr>
          <w:rFonts w:ascii="Google Sans" w:cs="Google Sans" w:eastAsia="Google Sans" w:hAnsi="Google Sans"/>
          <w:b w:val="1"/>
          <w:bCs w:val="1"/>
          <w:color w:val="1f1f1f"/>
          <w:rtl w:val="0"/>
        </w:rPr>
        <w:t xml:space="preserve"> e AML):</w:t>
      </w:r>
      <w:r w:rsidDel="00000000" w:rsidR="00000000" w:rsidRPr="00000000">
        <w:rPr>
          <w:rFonts w:ascii="Google Sans" w:cs="Google Sans" w:eastAsia="Google Sans" w:hAnsi="Google Sans"/>
          <w:color w:val="1f1f1f"/>
          <w:rtl w:val="0"/>
        </w:rPr>
        <w:t xml:space="preserve"> Realizar análises de due diligence ampliadas na arquitetura de correspondentes e subsidiárias sobre fluxos de financiamentos corporativos na orla do Golfo Pérsico. Determinar o bloqueio sistêmico condicionado e cautelar (via interrupção e </w:t>
      </w:r>
      <w:r w:rsidDel="00000000" w:rsidR="00000000" w:rsidRPr="00000000">
        <w:rPr>
          <w:rFonts w:ascii="Google Sans" w:cs="Google Sans" w:eastAsia="Google Sans" w:hAnsi="Google Sans"/>
          <w:i w:val="1"/>
          <w:iCs w:val="1"/>
          <w:color w:val="1f1f1f"/>
          <w:rtl w:val="0"/>
        </w:rPr>
        <w:t xml:space="preserve">hold</w:t>
      </w:r>
      <w:r w:rsidDel="00000000" w:rsidR="00000000" w:rsidRPr="00000000">
        <w:rPr>
          <w:rFonts w:ascii="Google Sans" w:cs="Google Sans" w:eastAsia="Google Sans" w:hAnsi="Google Sans"/>
          <w:color w:val="1f1f1f"/>
          <w:rtl w:val="0"/>
        </w:rPr>
        <w:t xml:space="preserve"> automático) sobre fluxos de letras de crédito financeiro originadas de entidades submetidas à legislação penal dos EUA e suas potenciais penalizações secundárias por exposição intencional à estrutura e canais paralelos de Teerã em rotas bloqueadas. Compreende-se aqui uma ameaça letal onde os EUA exercerão coerção econômica estrita em contrapartida ao fracasso político da cooperação entre parceiros e na aliança de proteção naval no golfo do Oriente Médio.</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Gerenciamento Estrito de Exposições de Risco Soberano Subordinado:</w:t>
      </w:r>
      <w:r w:rsidDel="00000000" w:rsidR="00000000" w:rsidRPr="00000000">
        <w:rPr>
          <w:rFonts w:ascii="Google Sans" w:cs="Google Sans" w:eastAsia="Google Sans" w:hAnsi="Google Sans"/>
          <w:color w:val="1f1f1f"/>
          <w:rtl w:val="0"/>
        </w:rPr>
        <w:t xml:space="preserve"> Modelar e efetuar o isolamento (</w:t>
      </w:r>
      <w:r w:rsidDel="00000000" w:rsidR="00000000" w:rsidRPr="00000000">
        <w:rPr>
          <w:rFonts w:ascii="Google Sans" w:cs="Google Sans" w:eastAsia="Google Sans" w:hAnsi="Google Sans"/>
          <w:i w:val="1"/>
          <w:iCs w:val="1"/>
          <w:color w:val="1f1f1f"/>
          <w:rtl w:val="0"/>
        </w:rPr>
        <w:t xml:space="preserve">ring-fencing</w:t>
      </w:r>
      <w:r w:rsidDel="00000000" w:rsidR="00000000" w:rsidRPr="00000000">
        <w:rPr>
          <w:rFonts w:ascii="Google Sans" w:cs="Google Sans" w:eastAsia="Google Sans" w:hAnsi="Google Sans"/>
          <w:color w:val="1f1f1f"/>
          <w:rtl w:val="0"/>
        </w:rPr>
        <w:t xml:space="preserve">) de provisões financeiras atreladas a rebaixamento potencial sistêmico à insolvência soberana de moedas ligadas ao espectro de fornecimento dos parceiros e dos devedores asiáticos, do Oriente Médio ou africanos atados pela falta de infraestrutura frente à disrupção do mercado marítimo do eixo Ormuz/Omã e da escalada regional persistente entre grupos aliados como as frentes do Hezbollah, no Líbano. Ajustar o </w:t>
      </w:r>
      <w:r w:rsidDel="00000000" w:rsidR="00000000" w:rsidRPr="00000000">
        <w:rPr>
          <w:rFonts w:ascii="Google Sans" w:cs="Google Sans" w:eastAsia="Google Sans" w:hAnsi="Google Sans"/>
          <w:i w:val="1"/>
          <w:iCs w:val="1"/>
          <w:color w:val="1f1f1f"/>
          <w:rtl w:val="0"/>
        </w:rPr>
        <w:t xml:space="preserve">rating</w:t>
      </w:r>
      <w:r w:rsidDel="00000000" w:rsidR="00000000" w:rsidRPr="00000000">
        <w:rPr>
          <w:rFonts w:ascii="Google Sans" w:cs="Google Sans" w:eastAsia="Google Sans" w:hAnsi="Google Sans"/>
          <w:color w:val="1f1f1f"/>
          <w:rtl w:val="0"/>
        </w:rPr>
        <w:t xml:space="preserve"> do modelo logístico e prêmios de risco marítimo aos cenários estritos, refletindo a nova e violenta matriz geopolítica da operação </w:t>
      </w:r>
      <w:r w:rsidDel="00000000" w:rsidR="00000000" w:rsidRPr="00000000">
        <w:rPr>
          <w:rFonts w:ascii="Google Sans" w:cs="Google Sans" w:eastAsia="Google Sans" w:hAnsi="Google Sans"/>
          <w:i w:val="1"/>
          <w:iCs w:val="1"/>
          <w:color w:val="1f1f1f"/>
          <w:rtl w:val="0"/>
        </w:rPr>
        <w:t xml:space="preserve">Epic Fury</w:t>
      </w:r>
      <w:r w:rsidDel="00000000" w:rsidR="00000000" w:rsidRPr="00000000">
        <w:rPr>
          <w:rFonts w:ascii="Google Sans" w:cs="Google Sans" w:eastAsia="Google Sans" w:hAnsi="Google Sans"/>
          <w:color w:val="1f1f1f"/>
          <w:rtl w:val="0"/>
        </w:rPr>
        <w:t xml:space="preserve"> e do vácuo logístico dos choques de oferta mundiais da inflação energética de base do Banco Central Europeu.</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estrutura abrangente articula que, como um efeito prolongado dos assédios mútuos liderados pelas campanhas de Israel e EUA versus a aliança estratégica islâmica persa, os riscos superaram amplamente as fronteiras da política bélica regional para incrustar perigos existenciais diretos sobre a prosperidade europeia global interconectada e de alta resiliência monetária. A inércia corporativa na adaptação às repercussões de resiliência digital da rede global não mais reflete um descuido aceitável; trata-se de um vetor negligencial em potencial no que toca à proteção central da integridade dos ativos interbancários face às capacidades assimétricas provadas pelo Irã nas operações </w:t>
      </w:r>
      <w:r w:rsidDel="00000000" w:rsidR="00000000" w:rsidRPr="00000000">
        <w:rPr>
          <w:rFonts w:ascii="Google Sans" w:cs="Google Sans" w:eastAsia="Google Sans" w:hAnsi="Google Sans"/>
          <w:i w:val="1"/>
          <w:iCs w:val="1"/>
          <w:color w:val="1f1f1f"/>
          <w:rtl w:val="0"/>
        </w:rPr>
        <w:t xml:space="preserve">Verdadeira Promessa-4</w:t>
      </w:r>
      <w:r w:rsidDel="00000000" w:rsidR="00000000" w:rsidRPr="00000000">
        <w:rPr>
          <w:rFonts w:ascii="Google Sans" w:cs="Google Sans" w:eastAsia="Google Sans" w:hAnsi="Google Sans"/>
          <w:color w:val="1f1f1f"/>
          <w:rtl w:val="0"/>
        </w:rPr>
        <w:t xml:space="preserve">. A resposta institucional requerida frente a ameaças iminentes exige atitudes imediatas, drásticas, proativas e contínuas de prevenção para navegar com êxito na tempestade em rápida materialização no horizonte do ciclo de negócios operacionais do ano corrente, estabelecido em 2026.</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US-Israel Operation Epic Fury_Roaring Lion 2026-03-17.html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