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 Threat and Geopolitical Intelligence Report: The US-Israel-Iran Conflict and Systemic Risk to the European Banking Sector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17 March 2026, the security landscape in the Middle East has suffered a structural and irreversible rupture, characterised by direct, sustained, and large-scale kinetic military engagement between the coalition formed by the United States of America and the State of Israel against the Islamic Republic of Iran.[1, 1, 1] This conflict, although geographically circumscribed to the Persian Gulf region, the Levant, and Iranian and Israeli territories, has generated immediate and catastrophic shockwaves throughout the global macro-economic architecture, as well as in the domain of informational and cyber warfare. The outbreak of "Operation Epic Fury" (alternatively designated in military intelligence dispatches as "Roaring Lion") on 28 February 2026 marked the end of decades of proxy warfare and indirect containment, inaugurating a phase of existential confrontation and leadership decapitation.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global financial institutions headquartered in the European Union, the metamorphosis of this localised conflict into a systemic global crisis translates into three primary risk vectors: the abrupt collapse of maritime supply chain security, the introduction of acute inflationary pressure derived from the energy market, and the imminence of asymmetric cyber retaliation campaigns sponsored by Iranian state actors.[1, 1, 1] The defensive closure of the Strait of Hormuz by Iranian forces neutralised the transit of approximately 20% to 30% of the global energy matrix, instantly catapulting the price of a barrel of crude oil to values exceeding 100 dollars.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supply shock introduces a stagflation dynamic into European markets, severely complicating monetary policy guidelines and credit risk management for corporate financing portfolios.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 to this, the degradation of Iran's conventional military infrastructure—exacerbated by the irreparable losses in its civil and military chain of command—forces the Islamic Revolutionary Guard Corps (IRGC) to redirect its offensive capabilities towards the asymmetric spectrum.[1, 1] Although open-source monitoring parameters focused on physical incidents currently register no active cyber anomalies, Iranian military doctrine and historical precedents indicate that the Western banking and financial sector is at the epicentre of the target matrix for destructive cyberattacks.[1, 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establishes a factual baseline up to 17 March 2026, decodes the teleology of military operations, models the ripple effects on the European financial ecosystem, and provides tactical and strategic mitigation guidelines to protect the integrity of institutional assets.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Factual Baseline and Chronology of Kinetic Escalation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and intensity of the military escalation since late February 2026 are unparalleled in the recent history of the Middle East. The extraction and processing of data from geopolitical monitoring alerts reveal that the doctrine of "proportionality" has been entirely abandoned in favour of saturation attacks, systematic elimination of leadership (structural decapitation), and the destruction of critical infrastructure.[1, 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Chronological Sequence of Critical Events (Up to 17 March 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consolidates the chronology of the tactical and operational events that configure the current theatre of operations, highlighting the transition from preventive strikes to a war of attrition and economic interdiction.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Reference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Actors Involved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 Strategic Event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Systemic Impact and Direct Consequences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Intelligence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February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and 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Outbreak of Operation </w:t>
            </w:r>
            <w:r w:rsidDel="00000000" w:rsidR="00000000" w:rsidRPr="00000000">
              <w:rPr>
                <w:rFonts w:ascii="Google Sans" w:cs="Google Sans" w:eastAsia="Google Sans" w:hAnsi="Google Sans"/>
                <w:i w:val="1"/>
                <w:iCs w:val="1"/>
                <w:color w:val="1f1f1f"/>
                <w:shd w:fill="auto" w:val="clear"/>
                <w:rtl w:val="0"/>
              </w:rPr>
              <w:t xml:space="preserve">Epic Fury</w:t>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i w:val="1"/>
                <w:iCs w:val="1"/>
                <w:color w:val="1f1f1f"/>
                <w:shd w:fill="auto" w:val="clear"/>
                <w:rtl w:val="0"/>
              </w:rPr>
              <w:t xml:space="preserve">Roaring Lion</w:t>
            </w:r>
            <w:r w:rsidDel="00000000" w:rsidR="00000000" w:rsidRPr="00000000">
              <w:rPr>
                <w:rFonts w:ascii="Google Sans" w:cs="Google Sans" w:eastAsia="Google Sans" w:hAnsi="Google Sans"/>
                <w:color w:val="1f1f1f"/>
                <w:shd w:fill="auto" w:val="clear"/>
                <w:rtl w:val="0"/>
              </w:rPr>
              <w:t xml:space="preserve">. Execution of coordinated high-precision airstrikes against over 200 simultaneous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escalation; neutralisation of command and control centres, nuclear infrastructure, and missile/drone production complexes in the Tehran, Shiraz, and Tabriz regions.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February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Targeted attack on the top tier of the Iranian regime, resulting in a direct impact on the supreme leadership.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Confirmed death of the then Supreme Leader, Ayatollah Ali Khamenei. Narrow survival of his successor and current Supreme Leader, Mojtaba Khamenei.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to 16 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Continuation of the campaign of targeted assassinations ("decapitation") against high-ranking officials of Iran and its </w:t>
            </w:r>
            <w:r w:rsidDel="00000000" w:rsidR="00000000" w:rsidRPr="00000000">
              <w:rPr>
                <w:rFonts w:ascii="Google Sans" w:cs="Google Sans" w:eastAsia="Google Sans" w:hAnsi="Google Sans"/>
                <w:i w:val="1"/>
                <w:iCs w:val="1"/>
                <w:color w:val="1f1f1f"/>
                <w:shd w:fill="auto" w:val="clear"/>
                <w:rtl w:val="0"/>
              </w:rPr>
              <w:t xml:space="preserve">proxies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Elimination of Ali Larijani (Secretary of the Supreme National Security Council) and Gholamreza Soleimani (Commander of the Basij militia, subordinate to the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1,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to 16 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Iran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Initiation and sustainment of the retaliatory campaign named "True Promise-4".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Launch of ballistic missile strikes and drone (UAV) swarms against military and civilian installations in Israel, UAE, Saudi Arabia, Bahrain, Qatar, Kuwait, and US bases in Iraq (Baghdad).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1,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to 16 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Iran (IRGC Naval Force)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Tactical interdiction and effective closure of maritime traffic in the Strait of Hormuz.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Logistical collapse affecting 20% to 30% of global energy transit. Selective exception guaranteed for oil tankers bound for China. The price of crude oil surpasses the 100-dollar per barrel 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to 17 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 and Hezbollah (Lebanon)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Intensification of clashes on Israel's northern border. IDF preventive strikes and Hezbollah rocket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IDF reports "significant preventive results". Minor injuries reported among Israeli soldiers during operational incidents. Northern Israeli communities targeted.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and International Community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Diplomatic manoeuvres by US President Donald Trump to form an international naval coalition aimed at the forced reopening of the Strait of Hormuz.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Systemic refusal or hesitation by traditional allies, including NATO members, as well as Japan, South Korea, and China, demonstrating fragmentation in maritime security alliances.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Attack Vectors Matrix and Infrastructure Degradation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forensic analysis of target selection reveals the strategic priorities inherent to each coalition. The asymmetry of the conflict dictates that, while Israel and the US seek the neutralisation of Iran's technological and military capacity, Tehran focuses on inducing intolerable economic pain on the West's regional allies.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Attacking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 Categories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 Locations and Specific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Weapons Systems and Tactics Employed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Damage Assessment and Confirmed Casualties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Intelligence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US-Israel Coalition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Chain of Command (C2), Nuclear Programmes, Missile and Drone (UAV) Factories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Tehran, Shiraz, Tabriz, Mehrabad Airport (Iran)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High-precision technical airstrikes.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Destruction of a strategic aircraft at Mehrabad Airport (used by leadership). Elimination of Ayatollah Ali Khamenei, Ali Larijani, and Gholamreza Soleimani. Severe degradation of cyber and surveillance infrastructure tied to drone production.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1,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Islamic Republic of Iran (IRGC)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Energy and Hydrocarbon Infrastructure, US Military Installations, Civilian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United Arab Emirates (Fujairah Oil Complex), Israel, Diplomatic facilities in Baghdad (Iraq)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"Sejjil" solid-fuel medium-range ballistic missiles, Unmanned Aerial Vehicles (UAVs/Drones).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fires at oil tank farms in Fujairah; temporary closure of airspace in Dubai and Abu Dhabi; confirmed civilian fatality in the UAE. Severe operational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1,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Proxy Forces (Hezbollah)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Israeli Civilian Communities, IDF Infantry Positions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Northern Israel and Southern Lebanon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Rocket batteries, UAV swarms.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Unspecified structural damage in northern communities; IDF soldiers with minor injuries.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Operational Analysis and Geopolitical Implications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dissection of "Operation Epic Fury" and the "True Promise-4" counter-offensive provides the basis for understanding how the Middle East's deterrence architecture collapsed and how systemic risk is propagating outside the physical theatre of war.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Decapitation Doctrine and the Internal Power Vacuum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scope of Operation Epic Fury transcends the mere degradation of force projection capabilities; it is a systematic and deliberate strategy of civil and military decapitation.[1, 1] The selection of over 200 critical infrastructure sites on 28 February denotes a level of precision intelligence accumulated over years by the US and Israel. By simultaneously targeting nuclear facilities, missile development complexes in Tabriz and Shiraz, and the centre of gravity of political power in Tehran, the coalition sought to induce cognitive paralysis in the Iranian leadership.[1, 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destabilising aspect of this campaign is the lethal success of the elimination of key figures. The death of the then Supreme Leader Ayatollah Ali Khamenei represented a tectonic shift in the institutional continuity of the Islamic Republic.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Added to this, the death of Ali Larijani, Secretary of the Supreme National Security Council, removed a fundamental architect of Iran's foreign policy and strategic intelligence.[1, 1] Perhaps even more critical to the regime's internal stability is the assassination of Gholamreza Soleimani, commander of the Basij militia.[1, 1] The Basij, being an auxiliary paramilitary force subordinated to the Revolutionary Guard (IRGC), is the Iranian State's primary tool for the suppression of internal dissent and social control. His absence in command suggests extreme vulnerability to domestic uprisings at a time when national cohesion is under the pressure of massive airstrikes.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destruction of a strategic aircraft at Mehrabad Airport, frequently utilised by the regime's top tier, is a tactical indication that the Israeli air force managed to deny the Iranian government the basic logistical capacity for evacuation or mobile command.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element of resilience that prevents the total collapse of the Iranian State is Mojtaba Khamenei's survival of the same series of attacks, allowing for a rapid transition (albeit under fire) and the maintenance of a minimally functional chain of command to authorise retaliatory operations.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Warfare and Narrative Disputes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vacuum generated by confusion and physical destruction, the informational domain emerged as an immediate secondary battlefield. Perception management is vital for the survival of a regime under siege. This is evident in the Iranian state media's attempts to vehemently deny the death of Ali Larijani, through the publication of a supposedly handwritten condolence letter attributed to him.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dissemination of artificial or forged proofs of life aims to mitigate internal panic and project an illusion of invulnerability and continuous command order. Conversely, Israel faced similar cyber disinformation campaigns, with authorities forced to confirm the active and living status of Prime Minister Benjamin Netanyahu to combat persistent rumours regarding his death.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intelligence analyst, these disinformation vectors signal an acute vulnerability in both governments regarding the maintenance of legitimacy and public morale during high-attrition conflicts.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Asymmetry of Operation True Promise-4 and the Sejjil Missile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Tehran's operational response, Operation "True Promise-4", demonstrates a profound tactical recalibration. Recognising the impossibility of maintaining a symmetric aerial confrontation with the fifth-generation fighter jets of the US and Israel, the IRGC resorted to its area denial and stand-off power projection arsenal.[1, 1] A defining element of this campaign is the ostensive use of the "Sejjil" medium-range ballistic missile.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Sejjil missile utilises solid-fuel propulsion, which constitutes a technological differential of critical importance. Unlike liquid-fuel missiles, which require hours of conspicuous preparation (susceptible to detection by reconnaissance satellites and consequent preventive destruction), solid-fuel missiles can be launched in a matter of minutes from mobile platforms. This reduces the warning window and the efficacy of the anti-missile defence systems of Israel and Western allies.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IRGC's choice of targets was not dictated by pure military revenge, but by geo-economic pragmatism. By focusing on the Fujairah oil complex in the United Arab Emirates, Iran attacked not only an enemy state but the very stability of capital markets.[1, 1, 1] The fires at the tank farms and the temporary closure of the airspaces of Dubai and Abu Dhabi forced the reallocation of global logistical routes, proving the concept that Tehran can, at its will, impose an inflationary tax on the entire economy of the West and the Gulf Cooperation Council (GCC) countries.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presence of civilian casualties in the UAE adds legal and humanitarian complexity, further polarising regional diplomacy.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Beyond the energy flank, Iranian forces conducted attacks against US diplomatic facilities in Baghdad, Iraq, seeking to derail Washington's political coordination in Mesopotamia.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Maritime Stranglehold: The Strait of Hormuz Crisis and the Systemic Macro-economic Shock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catastrophic development of the conflict for the European Union's banking sector does not reside in the missile strikes over the Levant, but in the maritime chokepoint that connects the Persian Gulf to the Indian Ocean: the Strait of Hormuz. By instituting an effective restriction and closure of this navigable waterway, Iran has engaged the global economy at a level unseen since the oil shocks of the 1970s.[1, 1]</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and Sizing of the Maritime Blockade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Strait of Hormuz facilitates the uninterrupted flow of approximately 20% to 30% of global energy transit, housing the primary export infrastructure for the oil of Saudi Arabia, Kuwait, Iraq, Bahrain, and the United Arab Emirates.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Islamic Republic's decision to use the IRGC Navy and coastal anti-ship missile batteries to impose a blockade is a simultaneous defensive and offensive manoeuvre, calculated to punish the foreign powers supporting the actions of Israel and the US. The immediate effect on the commodities market was brutal: the pricing of a barrel of crude oil was forced above the psychological barrier of 100 dollars, precipitating a cascade of derivative repricing across all energy exchanges.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most critical intelligence extracted from this event is the asymmetry in the application of the embargo. Reports categorically indicate that Iran has allowed "selective passage" for oil tankers bound for China (PRC).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"Chinese exception" is a masterpiece of subversive geopolitical strategy. By ensuring that the energy supply for the world's largest industrial base (and Iran's primary commercial ally) remains unharmed, Tehran secures Beijing's diplomatic patronage on the UN Security Council and maintains a line of external financing. For the economy of the European Union and the United States, this means the full internalisation of inflationary costs, creating a massive competitive differential where Asian production costs remain artificially stable, whilst European manufacturers face crippling tariff shocks.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fundamental detail illuminating Iranian strategy was the choice to attack the Fujairah oil facilities (UAE).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Fujairah houses crucial oil terminals in the Gulf of Oman, physically located after the Strait of Hormuz. Historically, this terminal served as a safe logistical bypass through which Gulf oil could be exported if the Strait of Hormuz were blocked. By striking Fujairah simultaneously with the closure of Hormuz, the IRGC actively destroyed the geo-economic "Plan B" of the Gulf countries, solidifying the energy stranglehold.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the Naval Coalition and Washington's Isolation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crisis in the Strait has resoundingly revealed the deep fissures and the collapse of solidarity within the Western security bloc. The desperate call by US President Donald Trump, urging allies to form a multinational naval task force to clear and police the Strait, was met with diplomatic silence or open refusals.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reluctance of foundational NATO partners, and the formal decline by highly energy-dependent nations such as Japan, South Korea, and China itself, demonstrate a dramatic recalculation of geopolitical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nations have concluded that engaging the Revolutionary Guard militarily in the confined and mined environment of the Persian Gulf would carry an unacceptable risk of damage to their own naval assets and exacerbate economic instability, outweighing any theoretical benefit of aligning with American policy. For a European banking institution assessing geopolitical risk, this event crystallises a new reality: the United States no longer possesses the political capital, nor the multilateral endorsement, necessary to unilaterally guarantee freedom of navigation in the globe's vital logistical arteries. This demands the reassessment of all risk profiles in maritime insurance and trade routes reliant on contested sea lanes.</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Intelligence Methodology and the Latent Cyber Threat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conjuncture of total war across multiple domains, the paradoxical absence of active cyber indicators in the primary data extracted demands a profound methodological analysis and a review of the threat model faced by the European banking sector.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Gap: Analysis of Silobreaker Parameters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reports based on the Silobreaker monitoring platform, executed by analyst "tiagojose Vieira" between 11:00 on 16 March and 11:49 on 17 March 2026, indicated that information regarding cyber warfare, digital infrastructure, telecommunications, and surveillance networks was "unavailable in the document".[1, 1] However, a rigorous exegesis of the search ontology (the Boolean syntax of the alert) structurally explains this informational vacuum.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search was configured solely to track kinetic conflicts, utilising restrictions such as: INTITLE entitytype:"Incident" AND NOT (doctype:"Forum Post" OR doctype:"Chat Digest" OR doctype:"Paste") AND fromdate:"-24h" focused on the theme "Locations and Physical Warfare" or "Attack Types Physical Warfare".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deliberate exclusion of document types such as "Forum Post", "Chat Digest" (typically Telegram or Discord), and "Paste" (temporary paste sites like Pastebin) in the search filter actively suppresses the entirety of the natural collection environment for CTI (Cyber Threat Intelligence). State-sponsored Iranian threat actors (APT - Advanced Persistent Threats), state-sponsored hacktivism groups (such as the fronts used in historical operations like MuddyWater, APT33, or Phosphorus), and allied collectives operate, coordinate, and broadcast their successes precisely through these parallel communication channels, in digital formats, dark web forums, and encrypted folders.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axiomatically concluded that the "non-existence" of cyber activity in the monitoring report does not constitute evidence of the absence of offensive cyber operations, but rather the reflection of a collection scope hyper-focused on ballistic and physical warfare metadata.</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Modelling Asymmetric Cyber Retaliation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contemporary military doctrine, "hybrid warfare" dictates that cyber, physical, electronic, and telecommunications components cannot be segmented into isolated silos.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Operation Epic Fury ostensibly targeted the production and launch of drones.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Military-grade drones and surveillance matrices are essentially networks in flight, intrinsically connected to advanced telecommunication centres and digital infrastructure. The physical destruction of these facilities constitutes the degradation of Iran's "kinematic cyber layer".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Faced with the massive disparity in conventional forces following the US/Israel bombing campaign, and driven by the existential imperative of internal survival given the leadership losses in the Basij and the intelligence apparatus (Khamenei, Larijani, Soleimani), Iran is structurally forced to shift its war effort to the cyber domain. The logic is simple and ruthless: Iran's physical attack in the Gulf hits the limits of its ballistic missile stockpiles and the spectre of total annihilation by Israel's latent nuclear response; cyber warfare, however, offers low-cost attrition, plausible deniability, and an unrestricted capacity to inflict damage abroad.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when confronted with heavy airstrikes and extreme diplomatic isolation, Iran has employed its cyber capabilities not against the heavily resilient military infrastructure of the Pentagon, but against soft economic targets of the private sector in the West, particularly global banks and energy complexes. It is imperative that analysts anticipate the activation of APT units associated with the Iranian Ministry of Intelligence and Security (MOIS) or the IRGC's cyber division.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Probable vectors include the resurrection of wiper-type malware, reminiscent of the famous Shamoon virus campaigns, but adapted to bypass modern endpoint detection and response (EDR) protocols. Such malware does not aim to steal data (espionage), but to inflict systemic annihilation, erasing central servers, corrupting master boot records, and paralysing wholesale financial operations. Another expected vector consists of massive Distributed Denial of Service (DDoS) campaigns applied against banking authentication infrastructures, European customer services (Internet Banking, corporate channels), and interbank communication gateways with sensitive architectures, such as SWIFT network API connections. The underlying objective of state-sponsored Iranian cyber activity in the coming months will be to inflict a prolonged collapse in the confidence of European and American capital markets as a coercive pressure tactic to force an end to the strikes by Israel and the US.</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Consequences for the European Union Banking Architecture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kinetic events consolidated in this baseline induce multivariate and interrelated risks of geo-economic contagion. Banking institutions operating globally from the European Union face significant balance sheet impacts derived from disruptions in the global trade chain, shocks to Basel liquidity guidelines, interest rate volatility, and the spectre of complex secondary sanctions regulations.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Inflationary Shock, Sovereign Risk, and ECB Policies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partial paralysis of the Strait of Hormuz (with 20% to 30% of global flow blocked and exclusive redirection to Asia) has introduced a non-transitory shock into the energy component of the Eurozone inflation basket, symbolised by the immediate rise of oil to a plateau exceeding 100 dollars a barrel.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that the European Union fundamentally lacks hydrocarbon independence compared to the United States of America, this externality has a profound and regressive effect on European production chains.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Cost-push inflation creates an onerous scenario for the European Central Bank (ECB), which will find itself urged to suspend any monetary easing trajectories and forced to maintain or increase quantitative tightening amidst stagnating growth (a classic stagflation environment). The consequences for a European banking institution include the immediate and tangible deterioration of the profitability margins of entire portfolios of corporate loans. Sectors possessing acute sensitivity to energy, fuel, or petrochemical costs—heavy logistical transport, European commercial airlines, advanced agriculture, and petrochemical manufacturing—will rapidly face cash flow shortages, requiring emergency refinancing, suffering credit rating downgrades, or triggering formal technical default and liquidation processes.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highly volatile scenario of skyrocketing costs, emerging market economies on the periphery of the European Union that are leveraged in dollars or euros may be forced to resort to sovereign default events. The oil price shock acts as a final pretext for fiscal stress, impacting the sovereign debt portfolio and forcing substantial provisions for doubtful debtors on the banking institution's balance sheets.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Contagion and Trade Finance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repercussions of the ballistic attacks on oil complexes like Fujairah and the closure of the airspace over the Arabian Peninsula in critical logistical hubs like Abu Dhabi and Dubai branch deeply into the Trade Finance infrastructure operated by the financial institution.[1, 1] Financial intermediation, the issuance of Documentary Letters of Credit, and invoice discounting for trade routes touching the Arabian Sea, the Gulf of Oman, or the Red Sea require immediate recalibration. Reinsurance companies in the global market (notoriously headquartered largely in London or continental Europe) will be forced to revise war risk and protection and indemnity (P&amp;I) premiums to astronomically prohibitive values for any vessel not flying the Chinese flag. Trade that is essentially insurmountable through these waters will be stranded, freezing the working capital of financed corporate lines, which will trigger acute liquidity stresses in clients reliant on bank capital to bridge the prolonged deficits of interrupted transactions. Furthermore, the aforementioned asymmetry in energy access ("Chinese Exception") drastically damages the systemic competitiveness of European manufacturing industries on the global stage.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Compliance Risk Amidst Naval Cohesion Failure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diplomatic repercussions on global governance must be quantified by the financial compliance and institutional governance desks. The refusal of strategic allies, including key European powers, to join the naval coalition requested by American President Donald Trump in the Strait of Hormuz can generate severe regulatory frictions in Western diplomatic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Noting that the US is encountering tactical resistance from its allies in projecting force in the Gulf, it is highly probable that the US Department of the Treasury and the Office of Foreign Assets Control (OFAC) will punitively tighten the surveillance, scope, and severity of their secondary economic sanctions campaigns. For the European Union, any banking institution suspected of inadvertently processing or settling fund transactions, supply chains, or associated naval chartering connected, even indirectly, to the Islamic Republic of Iran, will face the immediate risk of sanctions and the loss of interbank clearing access in US dollars. The inability to monitor and identify the opaque corporate structures that circumvent the maritime embargo imposed in the Gulf translates into a lethal and uncompromising risk at a regulatory level.</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Directive Synthesis: Strategic Recommendations for Geopolitics, CISO, and Risk Management Teams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that the military scenario outlined above propels the Middle East into a continuous trajectory of volatility, the essential operational functions of the European bank must be shielded both in the cyber dimension and in macro-economic balance sheets. Extracting and consolidating the strategic intelligence provided up to 17 March 2026, the following actionable contingency interventions are proposed.</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Guidelines for Information Security (CISO) and Cybersecurity Operations (SOC)</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Adoption of a Maximum Cyber Warfare Readiness Posture:</w:t>
      </w:r>
      <w:r w:rsidDel="00000000" w:rsidR="00000000" w:rsidRPr="00000000">
        <w:rPr>
          <w:rFonts w:ascii="Google Sans" w:cs="Google Sans" w:eastAsia="Google Sans" w:hAnsi="Google Sans"/>
          <w:color w:val="1f1f1f"/>
          <w:rtl w:val="0"/>
        </w:rPr>
        <w:t xml:space="preserve"> Determine that the general defensive posture of the institution's networks must not be based on the lack of immediate evidence in open sources (physical OSINT), but must assume the premise of zero-day adversary engagement of the APT class sponsored by States (Iran). Authorise the proactive engagement of intelligence in dark web repositories hidden from generic monitoring and force active search operations against internal anomalies in payment networks.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Radical Strengthening of Geographic Perimeter Controls and Logical Segregation:</w:t>
      </w:r>
      <w:r w:rsidDel="00000000" w:rsidR="00000000" w:rsidRPr="00000000">
        <w:rPr>
          <w:rFonts w:ascii="Google Sans" w:cs="Google Sans" w:eastAsia="Google Sans" w:hAnsi="Google Sans"/>
          <w:color w:val="1f1f1f"/>
          <w:rtl w:val="0"/>
        </w:rPr>
        <w:t xml:space="preserve"> Institute severe restrictions on non-corporate remote network accesses, provisionally suspending anomalous VPN connectivity. Imperatively block or send for deep monitoring the routing of IPs and traffic associated with domains historically hosted in Iranian, Russian infrastructures, and compromised hosting points in Southeast Asia, recognising that Iranian operations actively conceal their traffic origins using host nodes in neighbouring or vulnerable Western countries.</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Relentless Expansion and Refinement of the DDoS Mitigation Protocol:</w:t>
      </w:r>
      <w:r w:rsidDel="00000000" w:rsidR="00000000" w:rsidRPr="00000000">
        <w:rPr>
          <w:rFonts w:ascii="Google Sans" w:cs="Google Sans" w:eastAsia="Google Sans" w:hAnsi="Google Sans"/>
          <w:color w:val="1f1f1f"/>
          <w:rtl w:val="0"/>
        </w:rPr>
        <w:t xml:space="preserve"> Immediately conduct practical validation tests of the fail-safe transition capacity with providers of cyberattack mitigation based on volumetrics and deep semantic injection. Digital platforms intended for retail and corporate client transactions, and, imperatively, the messaging architectures connected to SWIFT, must demonstrate resilience against total and sustained server request flooding.</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 of the Inventory of Vital Systems Against Destructive Threats (Wiper):</w:t>
      </w:r>
      <w:r w:rsidDel="00000000" w:rsidR="00000000" w:rsidRPr="00000000">
        <w:rPr>
          <w:rFonts w:ascii="Google Sans" w:cs="Google Sans" w:eastAsia="Google Sans" w:hAnsi="Google Sans"/>
          <w:color w:val="1f1f1f"/>
          <w:rtl w:val="0"/>
        </w:rPr>
        <w:t xml:space="preserve"> Effect the immediate network isolation of backups of immutable key infrastructure (Air-gapped). The SOC must execute tabletop exercises simulating adversary simulations where actors have gained privileged routing access to deploy malicious artefacts of permanent annihilation on the servers, reviewing the Operational Recovery Time of crucial sub-systems of the general ledger and financial reconciliation in a scenario of total destructive disaster and loss of integrity of the primary active databases.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Guidelines for the Geopolitics Committee and Transversal Risk Management</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Systemic Reassessment of Value Chain-Related Credit Portfolios:</w:t>
      </w:r>
      <w:r w:rsidDel="00000000" w:rsidR="00000000" w:rsidRPr="00000000">
        <w:rPr>
          <w:rFonts w:ascii="Google Sans" w:cs="Google Sans" w:eastAsia="Google Sans" w:hAnsi="Google Sans"/>
          <w:color w:val="1f1f1f"/>
          <w:rtl w:val="0"/>
        </w:rPr>
        <w:t xml:space="preserve"> Immediately reconfigure the base parameters of all macroeconomic stochastic models and credit assessments, assuming the structural consolidated value of a barrel of oil at values substantially greater than 100 dollars in the long term, encompassing enduring energy supply shocks in the pricing of input costs for the European banking lending base. Modify the financial risk premiums in favour of the bank on portfolios that present an endemic dependence on petroleum derivatives in their gross margins, such as heavy freight, logistical transport, or heavy European chemicals affected by distortions in manufacturing advantage in international trade due to unobstructed Chinese access via the Strait of Hormuz.</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Restrictive Auditing and Sanctions Legal Risk (Compliance and AML Functions):</w:t>
      </w:r>
      <w:r w:rsidDel="00000000" w:rsidR="00000000" w:rsidRPr="00000000">
        <w:rPr>
          <w:rFonts w:ascii="Google Sans" w:cs="Google Sans" w:eastAsia="Google Sans" w:hAnsi="Google Sans"/>
          <w:color w:val="1f1f1f"/>
          <w:rtl w:val="0"/>
        </w:rPr>
        <w:t xml:space="preserve"> Conduct expanded due diligence analyses on the architecture of correspondents and subsidiaries regarding corporate financing flows on the rim of the Persian Gulf. Determine the conditioned and precautionary systemic blocking (via interruption and automatic hold) on flows of financial letters of credit originating from entities subject to US penal legislation and their potential secondary penalties for intentional exposure to Tehran's parallel structure and channels in blocked routes. This comprises a lethal threat where the US will exert strict economic coercion in response to the political failure of cooperation between partners and the naval protection alliance in the Middle Eastern gulf.</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Management of Subordinated Sovereign Risk Exposures:</w:t>
      </w:r>
      <w:r w:rsidDel="00000000" w:rsidR="00000000" w:rsidRPr="00000000">
        <w:rPr>
          <w:rFonts w:ascii="Google Sans" w:cs="Google Sans" w:eastAsia="Google Sans" w:hAnsi="Google Sans"/>
          <w:color w:val="1f1f1f"/>
          <w:rtl w:val="0"/>
        </w:rPr>
        <w:t xml:space="preserve"> Model and effect the ring-fencing of financial provisions tied to the potential systemic downgrade to sovereign insolvency of currencies linked to the supply spectrum of Asian, Middle Eastern, or African partners and debtors bound by the lack of infrastructure in the face of the disruption of the maritime market of the Hormuz/Oman axis and the persistent regional escalation between allied groups such as the Hezbollah fronts in Lebanon. Adjust the rating of the logistical model and maritime risk premiums to strict scenarios, reflecting the new and violent geopolitical matrix of operation </w:t>
      </w:r>
      <w:r w:rsidDel="00000000" w:rsidR="00000000" w:rsidRPr="00000000">
        <w:rPr>
          <w:rFonts w:ascii="Google Sans" w:cs="Google Sans" w:eastAsia="Google Sans" w:hAnsi="Google Sans"/>
          <w:i w:val="1"/>
          <w:iCs w:val="1"/>
          <w:color w:val="1f1f1f"/>
          <w:rtl w:val="0"/>
        </w:rPr>
        <w:t xml:space="preserve">Epic Fury</w:t>
      </w:r>
      <w:r w:rsidDel="00000000" w:rsidR="00000000" w:rsidRPr="00000000">
        <w:rPr>
          <w:rFonts w:ascii="Google Sans" w:cs="Google Sans" w:eastAsia="Google Sans" w:hAnsi="Google Sans"/>
          <w:color w:val="1f1f1f"/>
          <w:rtl w:val="0"/>
        </w:rPr>
        <w:t xml:space="preserve"> and the logistical vacuum of the global supply shocks of base energy inflation of the European Central Bank.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structure articulates that, as a prolonged effect of the mutual hostilities led by the campaigns of Israel and the US versus the Persian Islamic strategic alliance, the risks have vastly surpassed the boundaries of regional warfare to embed direct existential dangers upon interconnected global European prosperity and its high monetary resilience. Corporate inertia in adapting to the repercussions of global network digital resilience no longer reflects an acceptable oversight; it is a potential vector of negligence concerning the core protection of the integrity of interbank assets against the asymmetric capabilities proven by Iran in the </w:t>
      </w:r>
      <w:r w:rsidDel="00000000" w:rsidR="00000000" w:rsidRPr="00000000">
        <w:rPr>
          <w:rFonts w:ascii="Google Sans" w:cs="Google Sans" w:eastAsia="Google Sans" w:hAnsi="Google Sans"/>
          <w:i w:val="1"/>
          <w:iCs w:val="1"/>
          <w:color w:val="1f1f1f"/>
          <w:rtl w:val="0"/>
        </w:rPr>
        <w:t xml:space="preserve">True Promise-4</w:t>
      </w:r>
      <w:r w:rsidDel="00000000" w:rsidR="00000000" w:rsidRPr="00000000">
        <w:rPr>
          <w:rFonts w:ascii="Google Sans" w:cs="Google Sans" w:eastAsia="Google Sans" w:hAnsi="Google Sans"/>
          <w:color w:val="1f1f1f"/>
          <w:rtl w:val="0"/>
        </w:rPr>
        <w:t xml:space="preserve"> operations. The institutional response required against imminent threats demands immediate, drastic, proactive, and continuous prevention attitudes to successfully navigate the rapidly materialising storm on the horizon of the current business cycle, established in 2026.</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Iran-Israel Geopolitical Monitoring 2026-03-17.html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