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c7c7c7"/>
          <w:sz w:val="24"/>
          <w:szCs w:val="24"/>
          <w:shd w:fill="1a1d22" w:val="clear"/>
          <w:rtl w:val="0"/>
        </w:rPr>
        <w:t xml:space="preserve">Top Target Countries</w:t>
      </w: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rtl w:val="0"/>
        </w:rPr>
        <w:t xml:space="preserve">In April 2026, the </w:t>
      </w:r>
      <w:r w:rsidDel="00000000" w:rsidR="00000000" w:rsidRPr="00000000">
        <w:rPr>
          <w:b w:val="1"/>
          <w:bCs w:val="1"/>
          <w:rtl w:val="0"/>
        </w:rPr>
        <w:t xml:space="preserve">United States</w:t>
      </w:r>
      <w:r w:rsidDel="00000000" w:rsidR="00000000" w:rsidRPr="00000000">
        <w:rPr>
          <w:rtl w:val="0"/>
        </w:rPr>
        <w:t xml:space="preserve"> was by far the most targeted country globally, absorbing 50% of all ransomware attacks.</w:t>
      </w:r>
    </w:p>
    <w:p w:rsidR="00000000" w:rsidDel="00000000" w:rsidP="00000000" w:rsidRDefault="00000000" w:rsidRPr="00000000" w14:paraId="00000003">
      <w:pPr>
        <w:spacing w:after="240" w:before="240" w:lineRule="auto"/>
        <w:rPr/>
      </w:pPr>
      <w:r w:rsidDel="00000000" w:rsidR="00000000" w:rsidRPr="00000000">
        <w:rPr>
          <w:rtl w:val="0"/>
        </w:rPr>
        <w:t xml:space="preserve">Based on consolidated cybersecurity intelligence and ransomware claims exclusively for April 2026, the top targeted countries were:</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United States:</w:t>
      </w:r>
      <w:r w:rsidDel="00000000" w:rsidR="00000000" w:rsidRPr="00000000">
        <w:rPr>
          <w:rtl w:val="0"/>
        </w:rPr>
        <w:t xml:space="preserve"> 260 to 404 attacks</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France:</w:t>
      </w:r>
      <w:r w:rsidDel="00000000" w:rsidR="00000000" w:rsidRPr="00000000">
        <w:rPr>
          <w:rtl w:val="0"/>
        </w:rPr>
        <w:t xml:space="preserve"> 21 to 78 attacks (France emerged as a critical secondary target driven by attackers aiming at centralized registries like the National Bank Accounts File and the National Agency for Secure Documents)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Canada:</w:t>
      </w:r>
      <w:r w:rsidDel="00000000" w:rsidR="00000000" w:rsidRPr="00000000">
        <w:rPr>
          <w:rtl w:val="0"/>
        </w:rPr>
        <w:t xml:space="preserve"> 17 to 32 attacks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Germany:</w:t>
      </w:r>
      <w:r w:rsidDel="00000000" w:rsidR="00000000" w:rsidRPr="00000000">
        <w:rPr>
          <w:rtl w:val="0"/>
        </w:rPr>
        <w:t xml:space="preserve"> 29 to 32 attacks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United Kingdom:</w:t>
      </w:r>
      <w:r w:rsidDel="00000000" w:rsidR="00000000" w:rsidRPr="00000000">
        <w:rPr>
          <w:rtl w:val="0"/>
        </w:rPr>
        <w:t xml:space="preserve"> 24 to 30 attacks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Italy:</w:t>
      </w:r>
      <w:r w:rsidDel="00000000" w:rsidR="00000000" w:rsidRPr="00000000">
        <w:rPr>
          <w:rtl w:val="0"/>
        </w:rPr>
        <w:t xml:space="preserve"> 23 attacks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Spain:</w:t>
      </w:r>
      <w:r w:rsidDel="00000000" w:rsidR="00000000" w:rsidRPr="00000000">
        <w:rPr>
          <w:rtl w:val="0"/>
        </w:rPr>
        <w:t xml:space="preserve"> 17 attacks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Australia:</w:t>
      </w:r>
      <w:r w:rsidDel="00000000" w:rsidR="00000000" w:rsidRPr="00000000">
        <w:rPr>
          <w:rtl w:val="0"/>
        </w:rPr>
        <w:t xml:space="preserve"> 16 attacks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Thailand:</w:t>
      </w:r>
      <w:r w:rsidDel="00000000" w:rsidR="00000000" w:rsidRPr="00000000">
        <w:rPr>
          <w:rtl w:val="0"/>
        </w:rPr>
        <w:t xml:space="preserve"> 12 attacks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bCs w:val="1"/>
          <w:rtl w:val="0"/>
        </w:rPr>
        <w:t xml:space="preserve">Turkey:</w:t>
      </w:r>
      <w:r w:rsidDel="00000000" w:rsidR="00000000" w:rsidRPr="00000000">
        <w:rPr>
          <w:rtl w:val="0"/>
        </w:rPr>
        <w:t xml:space="preserve"> 11 attacks</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(Note: The incident ranges for the top five countries reflect variations across different cyber threat intelligence datasets tracking April 2026 activity.)</w:t>
      </w:r>
    </w:p>
    <w:p w:rsidR="00000000" w:rsidDel="00000000" w:rsidP="00000000" w:rsidRDefault="00000000" w:rsidRPr="00000000" w14:paraId="0000000F">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To provide the most complete and accurate view of the top target industries for </w:t>
      </w:r>
      <w:r w:rsidDel="00000000" w:rsidR="00000000" w:rsidRPr="00000000">
        <w:rPr>
          <w:b w:val="1"/>
          <w:bCs w:val="1"/>
          <w:rtl w:val="0"/>
        </w:rPr>
        <w:t xml:space="preserve">only April 2026</w:t>
      </w:r>
      <w:r w:rsidDel="00000000" w:rsidR="00000000" w:rsidRPr="00000000">
        <w:rPr>
          <w:rtl w:val="0"/>
        </w:rPr>
        <w:t xml:space="preserve"> in absolute numbers, the data must be broken down according to the different tracking methodologies used by cybersecurity intelligence firms during that month.</w:t>
      </w:r>
    </w:p>
    <w:p w:rsidR="00000000" w:rsidDel="00000000" w:rsidP="00000000" w:rsidRDefault="00000000" w:rsidRPr="00000000" w14:paraId="00000011">
      <w:pPr>
        <w:spacing w:after="240" w:before="240" w:lineRule="auto"/>
        <w:rPr/>
      </w:pPr>
      <w:r w:rsidDel="00000000" w:rsidR="00000000" w:rsidRPr="00000000">
        <w:rPr>
          <w:rtl w:val="0"/>
        </w:rPr>
        <w:t xml:space="preserve">Here is the breakdown of absolute cyber incidents in April 2026 across two primary datasets: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1. Broad Sector Breakdown (April 2026)</w:t>
      </w:r>
      <w:r w:rsidDel="00000000" w:rsidR="00000000" w:rsidRPr="00000000">
        <w:rPr>
          <w:rtl w:val="0"/>
        </w:rPr>
        <w:t xml:space="preserve"> In April 2026, a total of 628 ransomware attacks were recorded globally. The absolute incident numbers for major sectors were:</w:t>
      </w:r>
    </w:p>
    <w:p w:rsidR="00000000" w:rsidDel="00000000" w:rsidP="00000000" w:rsidRDefault="00000000" w:rsidRPr="00000000" w14:paraId="00000013">
      <w:pPr>
        <w:numPr>
          <w:ilvl w:val="0"/>
          <w:numId w:val="15"/>
        </w:numPr>
        <w:spacing w:after="0" w:afterAutospacing="0" w:before="240" w:lineRule="auto"/>
        <w:ind w:left="720" w:hanging="360"/>
      </w:pPr>
      <w:r w:rsidDel="00000000" w:rsidR="00000000" w:rsidRPr="00000000">
        <w:rPr>
          <w:b w:val="1"/>
          <w:bCs w:val="1"/>
          <w:rtl w:val="0"/>
        </w:rPr>
        <w:t xml:space="preserve">Businesses (General):</w:t>
      </w:r>
      <w:r w:rsidDel="00000000" w:rsidR="00000000" w:rsidRPr="00000000">
        <w:rPr>
          <w:rtl w:val="0"/>
        </w:rPr>
        <w:t xml:space="preserve"> 551 incidents</w:t>
      </w:r>
    </w:p>
    <w:p w:rsidR="00000000" w:rsidDel="00000000" w:rsidP="00000000" w:rsidRDefault="00000000" w:rsidRPr="00000000" w14:paraId="00000014">
      <w:pPr>
        <w:numPr>
          <w:ilvl w:val="0"/>
          <w:numId w:val="15"/>
        </w:numPr>
        <w:spacing w:after="0" w:afterAutospacing="0" w:before="0" w:beforeAutospacing="0" w:lineRule="auto"/>
        <w:ind w:left="720" w:hanging="360"/>
      </w:pPr>
      <w:r w:rsidDel="00000000" w:rsidR="00000000" w:rsidRPr="00000000">
        <w:rPr>
          <w:b w:val="1"/>
          <w:bCs w:val="1"/>
          <w:rtl w:val="0"/>
        </w:rPr>
        <w:t xml:space="preserve">Healthcare (Overall):</w:t>
      </w:r>
      <w:r w:rsidDel="00000000" w:rsidR="00000000" w:rsidRPr="00000000">
        <w:rPr>
          <w:rtl w:val="0"/>
        </w:rPr>
        <w:t xml:space="preserve"> 45 incidents (the only sector to see an increase from March)</w:t>
      </w:r>
    </w:p>
    <w:p w:rsidR="00000000" w:rsidDel="00000000" w:rsidP="00000000" w:rsidRDefault="00000000" w:rsidRPr="00000000" w14:paraId="00000015">
      <w:pPr>
        <w:numPr>
          <w:ilvl w:val="0"/>
          <w:numId w:val="15"/>
        </w:numPr>
        <w:spacing w:after="0" w:afterAutospacing="0" w:before="0" w:beforeAutospacing="0" w:lineRule="auto"/>
        <w:ind w:left="720" w:hanging="360"/>
      </w:pPr>
      <w:r w:rsidDel="00000000" w:rsidR="00000000" w:rsidRPr="00000000">
        <w:rPr>
          <w:b w:val="1"/>
          <w:bCs w:val="1"/>
          <w:rtl w:val="0"/>
        </w:rPr>
        <w:t xml:space="preserve">Government:</w:t>
      </w:r>
      <w:r w:rsidDel="00000000" w:rsidR="00000000" w:rsidRPr="00000000">
        <w:rPr>
          <w:rtl w:val="0"/>
        </w:rPr>
        <w:t xml:space="preserve"> 19 incidents (a significant decrease of 54% from the prior month)</w:t>
      </w:r>
    </w:p>
    <w:p w:rsidR="00000000" w:rsidDel="00000000" w:rsidP="00000000" w:rsidRDefault="00000000" w:rsidRPr="00000000" w14:paraId="00000016">
      <w:pPr>
        <w:numPr>
          <w:ilvl w:val="0"/>
          <w:numId w:val="15"/>
        </w:numPr>
        <w:spacing w:after="24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13 incidents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2. Specific Industry Verticals (April 2026)</w:t>
      </w:r>
      <w:r w:rsidDel="00000000" w:rsidR="00000000" w:rsidRPr="00000000">
        <w:rPr>
          <w:rtl w:val="0"/>
        </w:rPr>
        <w:t xml:space="preserve"> Because threat intelligence firms use varying datasets, the specific sub-industry numbers differ slightly depending on the reporting agency:</w:t>
      </w:r>
    </w:p>
    <w:p w:rsidR="00000000" w:rsidDel="00000000" w:rsidP="00000000" w:rsidRDefault="00000000" w:rsidRPr="00000000" w14:paraId="00000018">
      <w:pPr>
        <w:spacing w:after="240" w:before="240" w:lineRule="auto"/>
        <w:rPr/>
      </w:pPr>
      <w:r w:rsidDel="00000000" w:rsidR="00000000" w:rsidRPr="00000000">
        <w:rPr>
          <w:i w:val="1"/>
          <w:iCs w:val="1"/>
          <w:rtl w:val="0"/>
        </w:rPr>
        <w:t xml:space="preserve">Dataset A: The Strategic Intelligence Report</w:t>
      </w:r>
      <w:r w:rsidDel="00000000" w:rsidR="00000000" w:rsidRPr="00000000">
        <w:rPr>
          <w:rtl w:val="0"/>
        </w:rPr>
        <w:t xml:space="preserve"> This report tracked the following absolute incident claims for the top targeted industries in April 2026:</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Manufacturing:</w:t>
      </w:r>
      <w:r w:rsidDel="00000000" w:rsidR="00000000" w:rsidRPr="00000000">
        <w:rPr>
          <w:rtl w:val="0"/>
        </w:rPr>
        <w:t xml:space="preserve"> 76 incidents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Construction:</w:t>
      </w:r>
      <w:r w:rsidDel="00000000" w:rsidR="00000000" w:rsidRPr="00000000">
        <w:rPr>
          <w:rtl w:val="0"/>
        </w:rPr>
        <w:t xml:space="preserve"> 53 incidents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Financial Services:</w:t>
      </w:r>
      <w:r w:rsidDel="00000000" w:rsidR="00000000" w:rsidRPr="00000000">
        <w:rPr>
          <w:rtl w:val="0"/>
        </w:rPr>
        <w:t xml:space="preserve"> 48 incidents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Healthcare:</w:t>
      </w:r>
      <w:r w:rsidDel="00000000" w:rsidR="00000000" w:rsidRPr="00000000">
        <w:rPr>
          <w:rtl w:val="0"/>
        </w:rPr>
        <w:t xml:space="preserve"> 47 incidents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Legal:</w:t>
      </w:r>
      <w:r w:rsidDel="00000000" w:rsidR="00000000" w:rsidRPr="00000000">
        <w:rPr>
          <w:rtl w:val="0"/>
        </w:rPr>
        <w:t xml:space="preserve"> 43 incidents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Technology/IT:</w:t>
      </w:r>
      <w:r w:rsidDel="00000000" w:rsidR="00000000" w:rsidRPr="00000000">
        <w:rPr>
          <w:rtl w:val="0"/>
        </w:rPr>
        <w:t xml:space="preserve"> 35 incidents</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bCs w:val="1"/>
          <w:rtl w:val="0"/>
        </w:rPr>
        <w:t xml:space="preserve">Government:</w:t>
      </w:r>
      <w:r w:rsidDel="00000000" w:rsidR="00000000" w:rsidRPr="00000000">
        <w:rPr>
          <w:rtl w:val="0"/>
        </w:rPr>
        <w:t xml:space="preserve"> 31 incidents </w:t>
      </w:r>
      <w:r w:rsidDel="00000000" w:rsidR="00000000" w:rsidRPr="00000000">
        <w:rPr>
          <w:i w:val="1"/>
          <w:iCs w:val="1"/>
          <w:rtl w:val="0"/>
        </w:rPr>
        <w:t xml:space="preserve">(Accuracy Note: There is a notable discrepancy across the threat intelligence community regarding this specific dataset. These exact absolute figures identically match the March 2026 data published by Breachsense. This suggests one of the tracking organizations may have misattributed or carried over the previous month's data).</w:t>
      </w:r>
    </w:p>
    <w:p w:rsidR="00000000" w:rsidDel="00000000" w:rsidP="00000000" w:rsidRDefault="00000000" w:rsidRPr="00000000" w14:paraId="00000020">
      <w:pPr>
        <w:spacing w:after="240" w:before="240" w:lineRule="auto"/>
        <w:rPr/>
      </w:pPr>
      <w:r w:rsidDel="00000000" w:rsidR="00000000" w:rsidRPr="00000000">
        <w:rPr>
          <w:i w:val="1"/>
          <w:iCs w:val="1"/>
          <w:rtl w:val="0"/>
        </w:rPr>
        <w:t xml:space="preserve">Dataset B: Comparitech's Business Sector Breakdown</w:t>
      </w:r>
      <w:r w:rsidDel="00000000" w:rsidR="00000000" w:rsidRPr="00000000">
        <w:rPr>
          <w:rtl w:val="0"/>
        </w:rPr>
        <w:t xml:space="preserve"> Looking exclusively at the 551 attacks within the business sector in April 2026, attacks declined across almost all sub-industries. The specific incident metrics recorded for April 2026 (including their reported drops from the previous month) were:</w:t>
      </w:r>
    </w:p>
    <w:p w:rsidR="00000000" w:rsidDel="00000000" w:rsidP="00000000" w:rsidRDefault="00000000" w:rsidRPr="00000000" w14:paraId="00000021">
      <w:pPr>
        <w:numPr>
          <w:ilvl w:val="0"/>
          <w:numId w:val="8"/>
        </w:numPr>
        <w:spacing w:after="0" w:afterAutospacing="0" w:before="240" w:lineRule="auto"/>
        <w:ind w:left="720" w:hanging="360"/>
      </w:pPr>
      <w:r w:rsidDel="00000000" w:rsidR="00000000" w:rsidRPr="00000000">
        <w:rPr>
          <w:b w:val="1"/>
          <w:bCs w:val="1"/>
          <w:rtl w:val="0"/>
        </w:rPr>
        <w:t xml:space="preserve">Manufacturing:</w:t>
      </w:r>
      <w:r w:rsidDel="00000000" w:rsidR="00000000" w:rsidRPr="00000000">
        <w:rPr>
          <w:rtl w:val="0"/>
        </w:rPr>
        <w:t xml:space="preserve"> 119 incidents (a decrease of 43)</w:t>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b w:val="1"/>
          <w:bCs w:val="1"/>
          <w:rtl w:val="0"/>
        </w:rPr>
        <w:t xml:space="preserve">Service:</w:t>
      </w:r>
      <w:r w:rsidDel="00000000" w:rsidR="00000000" w:rsidRPr="00000000">
        <w:rPr>
          <w:rtl w:val="0"/>
        </w:rPr>
        <w:t xml:space="preserve"> 101 incidents (a decrease of 18)</w:t>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b w:val="1"/>
          <w:bCs w:val="1"/>
          <w:rtl w:val="0"/>
        </w:rPr>
        <w:t xml:space="preserve">Retail:</w:t>
      </w:r>
      <w:r w:rsidDel="00000000" w:rsidR="00000000" w:rsidRPr="00000000">
        <w:rPr>
          <w:rtl w:val="0"/>
        </w:rPr>
        <w:t xml:space="preserve"> 48 incidents (a decrease of 13)</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b w:val="1"/>
          <w:bCs w:val="1"/>
          <w:rtl w:val="0"/>
        </w:rPr>
        <w:t xml:space="preserve">Technology:</w:t>
      </w:r>
      <w:r w:rsidDel="00000000" w:rsidR="00000000" w:rsidRPr="00000000">
        <w:rPr>
          <w:rtl w:val="0"/>
        </w:rPr>
        <w:t xml:space="preserve"> 43 incidents (a decrease of 10)</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b w:val="1"/>
          <w:bCs w:val="1"/>
          <w:rtl w:val="0"/>
        </w:rPr>
        <w:t xml:space="preserve">Finance:</w:t>
      </w:r>
      <w:r w:rsidDel="00000000" w:rsidR="00000000" w:rsidRPr="00000000">
        <w:rPr>
          <w:rtl w:val="0"/>
        </w:rPr>
        <w:t xml:space="preserve"> 41 incidents (a decrease of 5)</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b w:val="1"/>
          <w:bCs w:val="1"/>
          <w:rtl w:val="0"/>
        </w:rPr>
        <w:t xml:space="preserve">Legal:</w:t>
      </w:r>
      <w:r w:rsidDel="00000000" w:rsidR="00000000" w:rsidRPr="00000000">
        <w:rPr>
          <w:rtl w:val="0"/>
        </w:rPr>
        <w:t xml:space="preserve"> 37 incidents (a decrease of 11)</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b w:val="1"/>
          <w:bCs w:val="1"/>
          <w:rtl w:val="0"/>
        </w:rPr>
        <w:t xml:space="preserve">Healthcare Businesses:</w:t>
      </w:r>
      <w:r w:rsidDel="00000000" w:rsidR="00000000" w:rsidRPr="00000000">
        <w:rPr>
          <w:rtl w:val="0"/>
        </w:rPr>
        <w:t xml:space="preserve"> 31 incidents exactly (remained perfectly consistent with the prior month)</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b w:val="1"/>
          <w:bCs w:val="1"/>
          <w:rtl w:val="0"/>
        </w:rPr>
        <w:t xml:space="preserve">Construction:</w:t>
      </w:r>
      <w:r w:rsidDel="00000000" w:rsidR="00000000" w:rsidRPr="00000000">
        <w:rPr>
          <w:rtl w:val="0"/>
        </w:rPr>
        <w:t xml:space="preserve"> 31 incidents (a decrease of 5)</w:t>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b w:val="1"/>
          <w:bCs w:val="1"/>
          <w:rtl w:val="0"/>
        </w:rPr>
        <w:t xml:space="preserve">Transportation:</w:t>
      </w:r>
      <w:r w:rsidDel="00000000" w:rsidR="00000000" w:rsidRPr="00000000">
        <w:rPr>
          <w:rtl w:val="0"/>
        </w:rPr>
        <w:t xml:space="preserve"> 20 incidents (a decrease of 5)</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b w:val="1"/>
          <w:bCs w:val="1"/>
          <w:rtl w:val="0"/>
        </w:rPr>
        <w:t xml:space="preserve">Food and Beverage:</w:t>
      </w:r>
      <w:r w:rsidDel="00000000" w:rsidR="00000000" w:rsidRPr="00000000">
        <w:rPr>
          <w:rtl w:val="0"/>
        </w:rPr>
        <w:t xml:space="preserve"> 19 incidents (a decrease of 5)</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b w:val="1"/>
          <w:bCs w:val="1"/>
          <w:rtl w:val="0"/>
        </w:rPr>
        <w:t xml:space="preserve">Utilities:</w:t>
      </w:r>
      <w:r w:rsidDel="00000000" w:rsidR="00000000" w:rsidRPr="00000000">
        <w:rPr>
          <w:rtl w:val="0"/>
        </w:rPr>
        <w:t xml:space="preserve"> 3 incidents</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In April 2026, the ransomware landscape was dominated by five primary groups, which accounted for over half of all ransomware and extortion activity observed during the month.</w:t>
      </w:r>
    </w:p>
    <w:p w:rsidR="00000000" w:rsidDel="00000000" w:rsidP="00000000" w:rsidRDefault="00000000" w:rsidRPr="00000000" w14:paraId="0000002E">
      <w:pPr>
        <w:spacing w:after="240" w:before="240" w:lineRule="auto"/>
        <w:rPr/>
      </w:pPr>
      <w:r w:rsidDel="00000000" w:rsidR="00000000" w:rsidRPr="00000000">
        <w:rPr>
          <w:rtl w:val="0"/>
        </w:rPr>
        <w:t xml:space="preserve">Based on consolidated cybersecurity tracking and dark web leak site claims exclusively for </w:t>
      </w:r>
      <w:r w:rsidDel="00000000" w:rsidR="00000000" w:rsidRPr="00000000">
        <w:rPr>
          <w:b w:val="1"/>
          <w:bCs w:val="1"/>
          <w:rtl w:val="0"/>
        </w:rPr>
        <w:t xml:space="preserve">April 2026</w:t>
      </w:r>
      <w:r w:rsidDel="00000000" w:rsidR="00000000" w:rsidRPr="00000000">
        <w:rPr>
          <w:rtl w:val="0"/>
        </w:rPr>
        <w:t xml:space="preserve">, here are the top 5 ransomware groups by absolute number of incidents:</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b w:val="1"/>
          <w:bCs w:val="1"/>
          <w:rtl w:val="0"/>
        </w:rPr>
        <w:t xml:space="preserve">Qilin:</w:t>
      </w:r>
      <w:r w:rsidDel="00000000" w:rsidR="00000000" w:rsidRPr="00000000">
        <w:rPr>
          <w:rtl w:val="0"/>
        </w:rPr>
        <w:t xml:space="preserve"> 105 incidents (Some threat intelligence datasets track this up to 131 victims due to variations in reporting). Qilin dethroned Akira as the most active group, utilizing Bring Your Own Vulnerable Driver (BYOVD) techniques to disable endpoint security before encryption.</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bCs w:val="1"/>
          <w:rtl w:val="0"/>
        </w:rPr>
        <w:t xml:space="preserve">The Gentlemen:</w:t>
      </w:r>
      <w:r w:rsidDel="00000000" w:rsidR="00000000" w:rsidRPr="00000000">
        <w:rPr>
          <w:rtl w:val="0"/>
        </w:rPr>
        <w:t xml:space="preserve"> 67 incidents. This rapidly scaling Ransomware-as-a-Service (RaaS) group maintained consistent attack volumes in April, utilizing weaponized Group Policy Objects for near-instant enterprise-wide encryption.</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bCs w:val="1"/>
          <w:rtl w:val="0"/>
        </w:rPr>
        <w:t xml:space="preserve">DragonForce:</w:t>
      </w:r>
      <w:r w:rsidDel="00000000" w:rsidR="00000000" w:rsidRPr="00000000">
        <w:rPr>
          <w:rtl w:val="0"/>
        </w:rPr>
        <w:t xml:space="preserve"> 60 incidents. DragonForce escalated its activity significantly, with its claims rising by more than 11% from March to April as the group aggressively competed for affiliates.</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Akira:</w:t>
      </w:r>
      <w:r w:rsidDel="00000000" w:rsidR="00000000" w:rsidRPr="00000000">
        <w:rPr>
          <w:rtl w:val="0"/>
        </w:rPr>
        <w:t xml:space="preserve"> 49 incidents. Despite falling from the top spot it held in previous months, Akira remained a highly critical threat, particularly relying on social engineering tactics like impersonating IT helpdesks via Microsoft Teams.</w:t>
      </w:r>
    </w:p>
    <w:p w:rsidR="00000000" w:rsidDel="00000000" w:rsidP="00000000" w:rsidRDefault="00000000" w:rsidRPr="00000000" w14:paraId="00000033">
      <w:pPr>
        <w:numPr>
          <w:ilvl w:val="0"/>
          <w:numId w:val="5"/>
        </w:numPr>
        <w:spacing w:after="240" w:before="0" w:beforeAutospacing="0" w:lineRule="auto"/>
        <w:ind w:left="720" w:hanging="360"/>
      </w:pPr>
      <w:r w:rsidDel="00000000" w:rsidR="00000000" w:rsidRPr="00000000">
        <w:rPr>
          <w:b w:val="1"/>
          <w:bCs w:val="1"/>
          <w:rtl w:val="0"/>
        </w:rPr>
        <w:t xml:space="preserve">INC (INC Ransom):</w:t>
      </w:r>
      <w:r w:rsidDel="00000000" w:rsidR="00000000" w:rsidRPr="00000000">
        <w:rPr>
          <w:rtl w:val="0"/>
        </w:rPr>
        <w:t xml:space="preserve"> 41 incidents. INC maintained a consistent operational tempo throughout the month, primarily targeting external remote services and specializing in the rapid exfiltration of data for pure extortion. Notably, INC had the highest number of </w:t>
      </w:r>
      <w:r w:rsidDel="00000000" w:rsidR="00000000" w:rsidRPr="00000000">
        <w:rPr>
          <w:i w:val="1"/>
          <w:iCs w:val="1"/>
          <w:rtl w:val="0"/>
        </w:rPr>
        <w:t xml:space="preserve">confirmed</w:t>
      </w:r>
      <w:r w:rsidDel="00000000" w:rsidR="00000000" w:rsidRPr="00000000">
        <w:rPr>
          <w:rtl w:val="0"/>
        </w:rPr>
        <w:t xml:space="preserve"> attacks (where victims publicly acknowledged the breach) in April.</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Here is the consolidated analysis of ransomware activity strictly for April 2026, summarized in 6 concise bullet points:</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Overall ransomware volume declined to 628 publicly claimed attacks, but an all-time low global ransom payment rate of 28% has structurally shifted attacker focus toward pure extortion and rapid data exfiltration.</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The United States remained the primary target absorbing 260 attacks, and while the business sector saw a general decline, healthcare uniquely experienced a nearly 10% month-over-month increase in incidents.</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Qilin dethroned Akira as the most active threat group with 105 claims, followed by The Gentlemen (67), DragonForce (60), Akira (49), and INC Ransom (41), which collectively dominated the threat landscape.</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Top-tier operations, specifically Qilin and DragonForce, heavily deployed "Bring Your Own Vulnerable Driver" (BYOVD) techniques to successfully terminate endpoint detection and antivirus processes prior to encryption.</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Threat actors, including Akira and Payouts King, increasingly utilized targeted social engineering by impersonating IT and helpdesk staff via Microsoft Teams to trick employees into installing remote access tools.</w:t>
      </w:r>
    </w:p>
    <w:p w:rsidR="00000000" w:rsidDel="00000000" w:rsidP="00000000" w:rsidRDefault="00000000" w:rsidRPr="00000000" w14:paraId="0000003B">
      <w:pPr>
        <w:numPr>
          <w:ilvl w:val="0"/>
          <w:numId w:val="4"/>
        </w:numPr>
        <w:spacing w:after="240" w:before="0" w:beforeAutospacing="0" w:lineRule="auto"/>
        <w:ind w:left="720" w:hanging="360"/>
      </w:pPr>
      <w:r w:rsidDel="00000000" w:rsidR="00000000" w:rsidRPr="00000000">
        <w:rPr>
          <w:rtl w:val="0"/>
        </w:rPr>
        <w:t xml:space="preserve">Adversaries utilized advanced evasion and scaling tactics, such as The Gentlemen weaponizing Group Policy Objects (GPOs) for rapid domain-wide encryption, and Payouts King leveraging QEMU virtual machines to completely hide staging activity from EDR tools.</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EXECUTIVE INTELLIGENCE BRIEF: APRIL 2026 DARKWEB HIGHLIGHTS</w:t>
      </w:r>
    </w:p>
    <w:p w:rsidR="00000000" w:rsidDel="00000000" w:rsidP="00000000" w:rsidRDefault="00000000" w:rsidRPr="00000000" w14:paraId="0000003F">
      <w:pPr>
        <w:numPr>
          <w:ilvl w:val="0"/>
          <w:numId w:val="12"/>
        </w:numPr>
        <w:spacing w:after="0" w:afterAutospacing="0" w:before="240" w:lineRule="auto"/>
        <w:ind w:left="720" w:hanging="360"/>
      </w:pPr>
      <w:r w:rsidDel="00000000" w:rsidR="00000000" w:rsidRPr="00000000">
        <w:rPr>
          <w:b w:val="1"/>
          <w:bCs w:val="1"/>
          <w:rtl w:val="0"/>
        </w:rPr>
        <w:t xml:space="preserve">Structural Market Shift:</w:t>
      </w:r>
      <w:r w:rsidDel="00000000" w:rsidR="00000000" w:rsidRPr="00000000">
        <w:rPr>
          <w:rtl w:val="0"/>
        </w:rPr>
        <w:t xml:space="preserve"> The underground economy in April 2026 transitioned into a distinct model of "specialized fragmentation," replacing manual fraud lifecycle labor with highly automated criminal services.</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b w:val="1"/>
          <w:bCs w:val="1"/>
          <w:rtl w:val="0"/>
        </w:rPr>
        <w:t xml:space="preserve">IAB Market Evolution:</w:t>
      </w:r>
      <w:r w:rsidDel="00000000" w:rsidR="00000000" w:rsidRPr="00000000">
        <w:rPr>
          <w:rtl w:val="0"/>
        </w:rPr>
        <w:t xml:space="preserve"> Activity across dark web forums, including XSS, Exploit.in, and the newly launched ALP-001 marketplace, spiked as Initial Access Brokers (IABs) explicitly pivoted from selling basic network access to offering "vetted footholds" featuring verified victim revenue and elevated privileges, such as Domain Admin and Cloud Console access.</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b w:val="1"/>
          <w:bCs w:val="1"/>
          <w:rtl w:val="0"/>
        </w:rPr>
        <w:t xml:space="preserve">Session Hijacking Commoditization:</w:t>
      </w:r>
      <w:r w:rsidDel="00000000" w:rsidR="00000000" w:rsidRPr="00000000">
        <w:rPr>
          <w:rtl w:val="0"/>
        </w:rPr>
        <w:t xml:space="preserve"> Infostealers like LummaC2 and Vidar drove a massive influx of hijacked session cookies to darknet markets, which were observed selling for as little as $10 during April to successfully bypass enterprise Multi-Factor Authentication (MFA) controls.</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b w:val="1"/>
          <w:bCs w:val="1"/>
          <w:rtl w:val="0"/>
        </w:rPr>
        <w:t xml:space="preserve">Dataset Advertising Dominance:</w:t>
      </w:r>
      <w:r w:rsidDel="00000000" w:rsidR="00000000" w:rsidRPr="00000000">
        <w:rPr>
          <w:rtl w:val="0"/>
        </w:rPr>
        <w:t xml:space="preserve"> Dark web database activity analyzed in April indicates that agentic AI-enabled stealer logs now completely dominate advertised and shared datasets at 67.12%, far exceeding traditional combo lists (16.47%) and basic leaked credentials (5.96%).</w:t>
      </w:r>
    </w:p>
    <w:p w:rsidR="00000000" w:rsidDel="00000000" w:rsidP="00000000" w:rsidRDefault="00000000" w:rsidRPr="00000000" w14:paraId="00000043">
      <w:pPr>
        <w:numPr>
          <w:ilvl w:val="0"/>
          <w:numId w:val="12"/>
        </w:numPr>
        <w:spacing w:after="240" w:before="0" w:beforeAutospacing="0" w:lineRule="auto"/>
        <w:ind w:left="720" w:hanging="360"/>
      </w:pPr>
      <w:r w:rsidDel="00000000" w:rsidR="00000000" w:rsidRPr="00000000">
        <w:rPr>
          <w:b w:val="1"/>
          <w:bCs w:val="1"/>
          <w:rtl w:val="0"/>
        </w:rPr>
        <w:t xml:space="preserve">Market Specialization:</w:t>
      </w:r>
      <w:r w:rsidDel="00000000" w:rsidR="00000000" w:rsidRPr="00000000">
        <w:rPr>
          <w:rtl w:val="0"/>
        </w:rPr>
        <w:t xml:space="preserve"> The top-tier darknet ecosystem active in April consolidated around strict operational specializations, with STYX dominating financial fraud and cash-out services, Brian's Club focusing on credit card dumps, and Russian Market cornering the trade in hijacked session tokens.</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EXECUTIVE INTELLIGENCE BRIEF: CYBER FRAUD TRENDS (APRIL 2026)</w:t>
      </w:r>
    </w:p>
    <w:p w:rsidR="00000000" w:rsidDel="00000000" w:rsidP="00000000" w:rsidRDefault="00000000" w:rsidRPr="00000000" w14:paraId="00000047">
      <w:pPr>
        <w:numPr>
          <w:ilvl w:val="0"/>
          <w:numId w:val="14"/>
        </w:numPr>
        <w:spacing w:after="0" w:afterAutospacing="0" w:before="240" w:lineRule="auto"/>
        <w:ind w:left="720" w:hanging="360"/>
      </w:pPr>
      <w:r w:rsidDel="00000000" w:rsidR="00000000" w:rsidRPr="00000000">
        <w:rPr>
          <w:b w:val="1"/>
          <w:bCs w:val="1"/>
          <w:rtl w:val="0"/>
        </w:rPr>
        <w:t xml:space="preserve">Global Fraud Metrics Surge:</w:t>
      </w:r>
      <w:r w:rsidDel="00000000" w:rsidR="00000000" w:rsidRPr="00000000">
        <w:rPr>
          <w:rtl w:val="0"/>
        </w:rPr>
        <w:t xml:space="preserve"> Cybercrime telemetry released on April 8, 2026, documented an 8% rise in global fraud rates, fueled by an 800% year-over-year escalation in synthetic identity fraud and a 450% spike in agentic bot traffic targeting enterprise authentication portals.</w:t>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b w:val="1"/>
          <w:bCs w:val="1"/>
          <w:rtl w:val="0"/>
        </w:rPr>
        <w:t xml:space="preserve">Industrial-Scale SEPA Fraud Escalation:</w:t>
      </w:r>
      <w:r w:rsidDel="00000000" w:rsidR="00000000" w:rsidRPr="00000000">
        <w:rPr>
          <w:rtl w:val="0"/>
        </w:rPr>
        <w:t xml:space="preserve"> Following the mid-April 2026 detection of the French National Agency for Secure Documents (ANTS) breach, threat actors immediately integrated this stolen demographic data with previous National Bank Accounts File (FICOBA) leaks to execute highly personalized, automated SEPA direct debit fraud campaigns across the Eurozone.</w:t>
      </w:r>
    </w:p>
    <w:p w:rsidR="00000000" w:rsidDel="00000000" w:rsidP="00000000" w:rsidRDefault="00000000" w:rsidRPr="00000000" w14:paraId="00000049">
      <w:pPr>
        <w:numPr>
          <w:ilvl w:val="0"/>
          <w:numId w:val="14"/>
        </w:numPr>
        <w:spacing w:after="0" w:afterAutospacing="0" w:before="0" w:beforeAutospacing="0" w:lineRule="auto"/>
        <w:ind w:left="720" w:hanging="360"/>
      </w:pPr>
      <w:r w:rsidDel="00000000" w:rsidR="00000000" w:rsidRPr="00000000">
        <w:rPr>
          <w:b w:val="1"/>
          <w:bCs w:val="1"/>
          <w:rtl w:val="0"/>
        </w:rPr>
        <w:t xml:space="preserve">High-Value Deepfake Vishing Execution:</w:t>
      </w:r>
      <w:r w:rsidDel="00000000" w:rsidR="00000000" w:rsidRPr="00000000">
        <w:rPr>
          <w:rtl w:val="0"/>
        </w:rPr>
        <w:t xml:space="preserve"> Highlighting the immediate financial threat of synthetic media, cybercriminals in late April 2026 successfully defrauded a Schwyz, Switzerland entrepreneur of millions of Swiss francs by utilizing AI-generated voice cloning to precisely impersonate a trusted business partner.</w:t>
      </w:r>
    </w:p>
    <w:p w:rsidR="00000000" w:rsidDel="00000000" w:rsidP="00000000" w:rsidRDefault="00000000" w:rsidRPr="00000000" w14:paraId="0000004A">
      <w:pPr>
        <w:numPr>
          <w:ilvl w:val="0"/>
          <w:numId w:val="14"/>
        </w:numPr>
        <w:spacing w:after="0" w:afterAutospacing="0" w:before="0" w:beforeAutospacing="0" w:lineRule="auto"/>
        <w:ind w:left="720" w:hanging="360"/>
      </w:pPr>
      <w:r w:rsidDel="00000000" w:rsidR="00000000" w:rsidRPr="00000000">
        <w:rPr>
          <w:b w:val="1"/>
          <w:bCs w:val="1"/>
          <w:rtl w:val="0"/>
        </w:rPr>
        <w:t xml:space="preserve">Session Hijacking Bypasses MFA:</w:t>
      </w:r>
      <w:r w:rsidDel="00000000" w:rsidR="00000000" w:rsidRPr="00000000">
        <w:rPr>
          <w:rtl w:val="0"/>
        </w:rPr>
        <w:t xml:space="preserve"> Driven by a 79% surge in infostealer infections in early 2026, fraudsters operating on darknet forums like Russian Market in April commoditized the sale of hijacked session cookies for as low as $10, enabling attackers to completely bypass enterprise Multi-Factor Authentication (MFA) to commit financial fraud.</w:t>
      </w:r>
    </w:p>
    <w:p w:rsidR="00000000" w:rsidDel="00000000" w:rsidP="00000000" w:rsidRDefault="00000000" w:rsidRPr="00000000" w14:paraId="0000004B">
      <w:pPr>
        <w:numPr>
          <w:ilvl w:val="0"/>
          <w:numId w:val="14"/>
        </w:numPr>
        <w:spacing w:after="240" w:before="0" w:beforeAutospacing="0" w:lineRule="auto"/>
        <w:ind w:left="720" w:hanging="360"/>
      </w:pPr>
      <w:r w:rsidDel="00000000" w:rsidR="00000000" w:rsidRPr="00000000">
        <w:rPr>
          <w:b w:val="1"/>
          <w:bCs w:val="1"/>
          <w:rtl w:val="0"/>
        </w:rPr>
        <w:t xml:space="preserve">Underground Market Specialization:</w:t>
      </w:r>
      <w:r w:rsidDel="00000000" w:rsidR="00000000" w:rsidRPr="00000000">
        <w:rPr>
          <w:rtl w:val="0"/>
        </w:rPr>
        <w:t xml:space="preserve"> The dark web fraud ecosystem in April 2026 consolidated into highly specialized service models, with platforms like STYX exclusively cornering the high-end financial fraud and money laundering market, while Initial Access Brokers (IABs) pivoted from selling basic access to offering verified, high-privilege corporate footholds.</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EXECUTIVE ANALYST'S NOTES: NEW EXPLOITED VULNERABILITIES (APRIL 2026)</w:t>
      </w:r>
    </w:p>
    <w:p w:rsidR="00000000" w:rsidDel="00000000" w:rsidP="00000000" w:rsidRDefault="00000000" w:rsidRPr="00000000" w14:paraId="0000004E">
      <w:pPr>
        <w:numPr>
          <w:ilvl w:val="0"/>
          <w:numId w:val="11"/>
        </w:numPr>
        <w:spacing w:after="0" w:afterAutospacing="0" w:before="240" w:lineRule="auto"/>
        <w:ind w:left="720" w:hanging="360"/>
      </w:pPr>
      <w:r w:rsidDel="00000000" w:rsidR="00000000" w:rsidRPr="00000000">
        <w:rPr>
          <w:rtl w:val="0"/>
        </w:rPr>
        <w:t xml:space="preserve">CVE-2026-32201: Actively exploited zero-day allowing unauthenticated remote attackers to view sensitive data and manipulate content; Target Tech: Microsoft SharePoint Server; Vulnerability Type: Spoofing;</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rtl w:val="0"/>
        </w:rPr>
        <w:t xml:space="preserve">CVE-2026-33825: Publicly disclosed zero-day observed in the wild granting local attackers SYSTEM-level privileges; Target Tech: Microsoft Defender; Vulnerability Type: Elevation of Privilege;</w:t>
      </w:r>
    </w:p>
    <w:p w:rsidR="00000000" w:rsidDel="00000000" w:rsidP="00000000" w:rsidRDefault="00000000" w:rsidRPr="00000000" w14:paraId="00000050">
      <w:pPr>
        <w:numPr>
          <w:ilvl w:val="0"/>
          <w:numId w:val="11"/>
        </w:numPr>
        <w:spacing w:after="0" w:afterAutospacing="0" w:before="0" w:beforeAutospacing="0" w:lineRule="auto"/>
        <w:ind w:left="720" w:hanging="360"/>
      </w:pPr>
      <w:r w:rsidDel="00000000" w:rsidR="00000000" w:rsidRPr="00000000">
        <w:rPr>
          <w:rtl w:val="0"/>
        </w:rPr>
        <w:t xml:space="preserve">CVE-2026-32202: Actively exploited zero-day protection mechanism failure allowing unauthorized network spoofing via malicious file execution; Target Tech: Microsoft Windows Shell; Vulnerability Type: Spoofing;</w:t>
      </w:r>
    </w:p>
    <w:p w:rsidR="00000000" w:rsidDel="00000000" w:rsidP="00000000" w:rsidRDefault="00000000" w:rsidRPr="00000000" w14:paraId="00000051">
      <w:pPr>
        <w:numPr>
          <w:ilvl w:val="0"/>
          <w:numId w:val="11"/>
        </w:numPr>
        <w:spacing w:after="240" w:before="0" w:beforeAutospacing="0" w:lineRule="auto"/>
        <w:ind w:left="720" w:hanging="360"/>
      </w:pPr>
      <w:r w:rsidDel="00000000" w:rsidR="00000000" w:rsidRPr="00000000">
        <w:rPr>
          <w:rtl w:val="0"/>
        </w:rPr>
        <w:t xml:space="preserve">CVE-2026-35616: Actively exploited flaw allowing unauthenticated attackers to bypass access controls and execute malicious code; Target Tech: Fortinet FortiClient EMS; Vulnerability Type: Authentication Bypass;</w:t>
      </w:r>
    </w:p>
    <w:p w:rsidR="00000000" w:rsidDel="00000000" w:rsidP="00000000" w:rsidRDefault="00000000" w:rsidRPr="00000000" w14:paraId="0000005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I. Extortion Economics &amp; Tactical Shifts</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b w:val="1"/>
          <w:bCs w:val="1"/>
          <w:rtl w:val="0"/>
        </w:rPr>
        <w:t xml:space="preserve">The Payment Collapse &amp; Pure Extortion Pivot:</w:t>
      </w:r>
      <w:r w:rsidDel="00000000" w:rsidR="00000000" w:rsidRPr="00000000">
        <w:rPr>
          <w:rtl w:val="0"/>
        </w:rPr>
        <w:t xml:space="preserve"> Global ransom payment rates have plummeted to an all-time low of 28%. In response, threat actors are abandoning traditional encryption in favor of "pure extortion" and data-theft-first models, relying exclusively on the threat of exposing sensitive corporate data.</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b w:val="1"/>
          <w:bCs w:val="1"/>
          <w:rtl w:val="0"/>
        </w:rPr>
        <w:t xml:space="preserve">Surging Ransom Costs:</w:t>
      </w:r>
      <w:r w:rsidDel="00000000" w:rsidR="00000000" w:rsidRPr="00000000">
        <w:rPr>
          <w:rtl w:val="0"/>
        </w:rPr>
        <w:t xml:space="preserve"> To compensate for fewer paying victims, adversaries are extracting maximum value from those who do pay, driving the median ransom payment up 368% to $59,556. The average total cost of a ransomware incident, including downtime and remediation, now stands at $5.08 million.</w:t>
      </w:r>
    </w:p>
    <w:p w:rsidR="00000000" w:rsidDel="00000000" w:rsidP="00000000" w:rsidRDefault="00000000" w:rsidRPr="00000000" w14:paraId="00000056">
      <w:pPr>
        <w:numPr>
          <w:ilvl w:val="0"/>
          <w:numId w:val="6"/>
        </w:numPr>
        <w:spacing w:after="240" w:before="0" w:beforeAutospacing="0" w:lineRule="auto"/>
        <w:ind w:left="720" w:hanging="360"/>
      </w:pPr>
      <w:r w:rsidDel="00000000" w:rsidR="00000000" w:rsidRPr="00000000">
        <w:rPr>
          <w:b w:val="1"/>
          <w:bCs w:val="1"/>
          <w:rtl w:val="0"/>
        </w:rPr>
        <w:t xml:space="preserve">AI-Enabled Scaling:</w:t>
      </w:r>
      <w:r w:rsidDel="00000000" w:rsidR="00000000" w:rsidRPr="00000000">
        <w:rPr>
          <w:rtl w:val="0"/>
        </w:rPr>
        <w:t xml:space="preserve"> Threat actors have actively weaponized generative and agentic AI tools (e.g., FraudGPT, BruteForceAI). This has industrialized the attack lifecycle, lowering the skill barrier for entry and contributing to a 389% year-over-year increase in identified ransomware victims.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II. Sector &amp; Third-Party Risk Velocity</w:t>
      </w:r>
    </w:p>
    <w:p w:rsidR="00000000" w:rsidDel="00000000" w:rsidP="00000000" w:rsidRDefault="00000000" w:rsidRPr="00000000" w14:paraId="00000058">
      <w:pPr>
        <w:numPr>
          <w:ilvl w:val="0"/>
          <w:numId w:val="9"/>
        </w:numPr>
        <w:spacing w:after="0" w:afterAutospacing="0" w:before="240" w:lineRule="auto"/>
        <w:ind w:left="720" w:hanging="360"/>
      </w:pPr>
      <w:r w:rsidDel="00000000" w:rsidR="00000000" w:rsidRPr="00000000">
        <w:rPr>
          <w:b w:val="1"/>
          <w:bCs w:val="1"/>
          <w:rtl w:val="0"/>
        </w:rPr>
        <w:t xml:space="preserve">Direct Financial Sector Targeting:</w:t>
      </w:r>
      <w:r w:rsidDel="00000000" w:rsidR="00000000" w:rsidRPr="00000000">
        <w:rPr>
          <w:rtl w:val="0"/>
        </w:rPr>
        <w:t xml:space="preserve"> The financial services industry recorded 48 confirmed ransomware victims in April 2026, an upward trend demonstrating that adversaries continue to prioritize regulated entities where data exposure carries severe reputational and regulatory penalties.</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b w:val="1"/>
          <w:bCs w:val="1"/>
          <w:rtl w:val="0"/>
        </w:rPr>
        <w:t xml:space="preserve">Critical Supply Chain Vulnerabilities:</w:t>
      </w:r>
      <w:r w:rsidDel="00000000" w:rsidR="00000000" w:rsidRPr="00000000">
        <w:rPr>
          <w:rtl w:val="0"/>
        </w:rPr>
        <w:t xml:space="preserve"> Third-party vendor compromises represent our most acute perimeter exposure. This was distinctly highlighted in April when major U.S. financial institutions, including Citizens Financial Group and Frost Bank, suffered data theft directly resulting from a third-party vendor breach.</w:t>
      </w:r>
    </w:p>
    <w:p w:rsidR="00000000" w:rsidDel="00000000" w:rsidP="00000000" w:rsidRDefault="00000000" w:rsidRPr="00000000" w14:paraId="0000005A">
      <w:pPr>
        <w:numPr>
          <w:ilvl w:val="0"/>
          <w:numId w:val="9"/>
        </w:numPr>
        <w:spacing w:after="240" w:before="0" w:beforeAutospacing="0" w:lineRule="auto"/>
        <w:ind w:left="720" w:hanging="360"/>
      </w:pPr>
      <w:r w:rsidDel="00000000" w:rsidR="00000000" w:rsidRPr="00000000">
        <w:rPr>
          <w:b w:val="1"/>
          <w:bCs w:val="1"/>
          <w:rtl w:val="0"/>
        </w:rPr>
        <w:t xml:space="preserve">Downstream SaaS Cascades:</w:t>
      </w:r>
      <w:r w:rsidDel="00000000" w:rsidR="00000000" w:rsidRPr="00000000">
        <w:rPr>
          <w:rtl w:val="0"/>
        </w:rPr>
        <w:t xml:space="preserve"> Attacks targeting SaaS integrators have triggered widespread downstream breaches, evidenced by April 2026 incidents where both Snowflake and Vercel customers had cloud data exfiltrated via compromised third-party connections.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III. Adversary Ecosystem Dynamics</w:t>
      </w:r>
    </w:p>
    <w:p w:rsidR="00000000" w:rsidDel="00000000" w:rsidP="00000000" w:rsidRDefault="00000000" w:rsidRPr="00000000" w14:paraId="0000005C">
      <w:pPr>
        <w:numPr>
          <w:ilvl w:val="0"/>
          <w:numId w:val="10"/>
        </w:numPr>
        <w:spacing w:after="0" w:afterAutospacing="0" w:before="240" w:lineRule="auto"/>
        <w:ind w:left="720" w:hanging="360"/>
      </w:pPr>
      <w:r w:rsidDel="00000000" w:rsidR="00000000" w:rsidRPr="00000000">
        <w:rPr>
          <w:b w:val="1"/>
          <w:bCs w:val="1"/>
          <w:rtl w:val="0"/>
        </w:rPr>
        <w:t xml:space="preserve">Fragmented but Resilient Ecosystem:</w:t>
      </w:r>
      <w:r w:rsidDel="00000000" w:rsidR="00000000" w:rsidRPr="00000000">
        <w:rPr>
          <w:rtl w:val="0"/>
        </w:rPr>
        <w:t xml:space="preserve"> The ransomware ecosystem remained highly volatile and fragmented in April 2026, sustaining between 65 and 70 distinct active groups. Law enforcement identification of legacy bosses (e.g., REvil and GandCrab in early April) drives rebranding but fails to permanently disrupt the mature Ransomware-as-a-Service (RaaS) market.</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b w:val="1"/>
          <w:bCs w:val="1"/>
          <w:rtl w:val="0"/>
        </w:rPr>
        <w:t xml:space="preserve">Apex Predators Shifting Power:</w:t>
      </w:r>
      <w:r w:rsidDel="00000000" w:rsidR="00000000" w:rsidRPr="00000000">
        <w:rPr>
          <w:rtl w:val="0"/>
        </w:rPr>
        <w:t xml:space="preserve"> </w:t>
      </w:r>
      <w:r w:rsidDel="00000000" w:rsidR="00000000" w:rsidRPr="00000000">
        <w:rPr>
          <w:b w:val="1"/>
          <w:bCs w:val="1"/>
          <w:rtl w:val="0"/>
        </w:rPr>
        <w:t xml:space="preserve">Qilin</w:t>
      </w:r>
      <w:r w:rsidDel="00000000" w:rsidR="00000000" w:rsidRPr="00000000">
        <w:rPr>
          <w:rtl w:val="0"/>
        </w:rPr>
        <w:t xml:space="preserve"> aggressively dominated April's attack volume, claiming 105 victims and officially dethroning </w:t>
      </w:r>
      <w:r w:rsidDel="00000000" w:rsidR="00000000" w:rsidRPr="00000000">
        <w:rPr>
          <w:b w:val="1"/>
          <w:bCs w:val="1"/>
          <w:rtl w:val="0"/>
        </w:rPr>
        <w:t xml:space="preserve">Akira</w:t>
      </w:r>
      <w:r w:rsidDel="00000000" w:rsidR="00000000" w:rsidRPr="00000000">
        <w:rPr>
          <w:rtl w:val="0"/>
        </w:rPr>
        <w:t xml:space="preserve"> (49 victims) as the most active threat group. Qilin's consistency reflects a highly stable, industrial-scale infrastructure.</w:t>
      </w:r>
    </w:p>
    <w:p w:rsidR="00000000" w:rsidDel="00000000" w:rsidP="00000000" w:rsidRDefault="00000000" w:rsidRPr="00000000" w14:paraId="0000005E">
      <w:pPr>
        <w:numPr>
          <w:ilvl w:val="0"/>
          <w:numId w:val="10"/>
        </w:numPr>
        <w:spacing w:after="240" w:before="0" w:beforeAutospacing="0" w:lineRule="auto"/>
        <w:ind w:left="720" w:hanging="360"/>
      </w:pPr>
      <w:r w:rsidDel="00000000" w:rsidR="00000000" w:rsidRPr="00000000">
        <w:rPr>
          <w:b w:val="1"/>
          <w:bCs w:val="1"/>
          <w:rtl w:val="0"/>
        </w:rPr>
        <w:t xml:space="preserve">Rapid Scaling of 'The Gentlemen':</w:t>
      </w:r>
      <w:r w:rsidDel="00000000" w:rsidR="00000000" w:rsidRPr="00000000">
        <w:rPr>
          <w:rtl w:val="0"/>
        </w:rPr>
        <w:t xml:space="preserve"> "The Gentlemen" RaaS syndicate has scaled at an unprecedented rate, claiming 67 victims in April. The true systemic risk of this group is far larger than public claims suggest; independent analysis of their SystemBC command-and-control server revealed an active, hidden botnet of over 1,570 compromised corporate networks worldwide.</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IV. Initial Access &amp; Exploitation Trends</w:t>
      </w:r>
    </w:p>
    <w:p w:rsidR="00000000" w:rsidDel="00000000" w:rsidP="00000000" w:rsidRDefault="00000000" w:rsidRPr="00000000" w14:paraId="00000060">
      <w:pPr>
        <w:numPr>
          <w:ilvl w:val="0"/>
          <w:numId w:val="3"/>
        </w:numPr>
        <w:spacing w:after="0" w:afterAutospacing="0" w:before="240" w:lineRule="auto"/>
        <w:ind w:left="720" w:hanging="360"/>
      </w:pPr>
      <w:r w:rsidDel="00000000" w:rsidR="00000000" w:rsidRPr="00000000">
        <w:rPr>
          <w:b w:val="1"/>
          <w:bCs w:val="1"/>
          <w:rtl w:val="0"/>
        </w:rPr>
        <w:t xml:space="preserve">Compressed Time-to-Exploit (TTE):</w:t>
      </w:r>
      <w:r w:rsidDel="00000000" w:rsidR="00000000" w:rsidRPr="00000000">
        <w:rPr>
          <w:rtl w:val="0"/>
        </w:rPr>
        <w:t xml:space="preserve"> AI-accelerated reconnaissance has collapsed the time-to-exploit window for new vulnerabilities to just 24–48 hours. April's historic Patch Tuesday addressed 163-167 vulnerabilities, requiring immediate prioritization of actively exploited zero-days like </w:t>
      </w:r>
      <w:r w:rsidDel="00000000" w:rsidR="00000000" w:rsidRPr="00000000">
        <w:rPr>
          <w:b w:val="1"/>
          <w:bCs w:val="1"/>
          <w:rtl w:val="0"/>
        </w:rPr>
        <w:t xml:space="preserve">CVE-2026-32201</w:t>
      </w:r>
      <w:r w:rsidDel="00000000" w:rsidR="00000000" w:rsidRPr="00000000">
        <w:rPr>
          <w:rtl w:val="0"/>
        </w:rPr>
        <w:t xml:space="preserve"> (SharePoint Server spoofing) and </w:t>
      </w:r>
      <w:r w:rsidDel="00000000" w:rsidR="00000000" w:rsidRPr="00000000">
        <w:rPr>
          <w:b w:val="1"/>
          <w:bCs w:val="1"/>
          <w:rtl w:val="0"/>
        </w:rPr>
        <w:t xml:space="preserve">CVE-2026-33825</w:t>
      </w:r>
      <w:r w:rsidDel="00000000" w:rsidR="00000000" w:rsidRPr="00000000">
        <w:rPr>
          <w:rtl w:val="0"/>
        </w:rPr>
        <w:t xml:space="preserve"> (Microsoft Defender privilege escalation).</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b w:val="1"/>
          <w:bCs w:val="1"/>
          <w:rtl w:val="0"/>
        </w:rPr>
        <w:t xml:space="preserve">Session Hijacking Bypassing MFA:</w:t>
      </w:r>
      <w:r w:rsidDel="00000000" w:rsidR="00000000" w:rsidRPr="00000000">
        <w:rPr>
          <w:rtl w:val="0"/>
        </w:rPr>
        <w:t xml:space="preserve"> Identity-first compromise has overtaken technical exploitation. Infostealer malware (such as LummaC2 and Vidar) harvests browser session cookies, enabling attackers to completely bypass enterprise Multi-Factor Authentication (MFA). These stealer logs now dominate dark web data markets at a 67.12% share and are sold for as little as $10.</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b w:val="1"/>
          <w:bCs w:val="1"/>
          <w:rtl w:val="0"/>
        </w:rPr>
        <w:t xml:space="preserve">Advanced EDR Evasion:</w:t>
      </w:r>
      <w:r w:rsidDel="00000000" w:rsidR="00000000" w:rsidRPr="00000000">
        <w:rPr>
          <w:rtl w:val="0"/>
        </w:rPr>
        <w:t xml:space="preserve"> Top-tier groups, including Qilin and DragonForce, heavily utilize "Bring Your Own Vulnerable Driver" (BYOVD) techniques to blind endpoint detection and response (EDR) agents at the kernel level prior to deployment. Similarly, the Payouts King ransomware group was observed hiding inside QEMU virtual machine emulators to establish entirely EDR-blind staging grounds.</w:t>
      </w:r>
    </w:p>
    <w:p w:rsidR="00000000" w:rsidDel="00000000" w:rsidP="00000000" w:rsidRDefault="00000000" w:rsidRPr="00000000" w14:paraId="00000063">
      <w:pPr>
        <w:numPr>
          <w:ilvl w:val="0"/>
          <w:numId w:val="3"/>
        </w:numPr>
        <w:spacing w:after="240" w:before="0" w:beforeAutospacing="0" w:lineRule="auto"/>
        <w:ind w:left="720" w:hanging="360"/>
      </w:pPr>
      <w:r w:rsidDel="00000000" w:rsidR="00000000" w:rsidRPr="00000000">
        <w:rPr>
          <w:b w:val="1"/>
          <w:bCs w:val="1"/>
          <w:rtl w:val="0"/>
        </w:rPr>
        <w:t xml:space="preserve">Helpdesk Impersonation:</w:t>
      </w:r>
      <w:r w:rsidDel="00000000" w:rsidR="00000000" w:rsidRPr="00000000">
        <w:rPr>
          <w:rtl w:val="0"/>
        </w:rPr>
        <w:t xml:space="preserve"> Groups such as Akira and Payouts King are successfully deploying highly targeted social engineering campaigns over Microsoft Teams cross-tenant chats, impersonating IT staff to manipulate employees into installing remote access tools like Quick Assist.</w:t>
      </w: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b w:val="1"/>
          <w:bCs w:val="1"/>
        </w:rPr>
      </w:pPr>
      <w:r w:rsidDel="00000000" w:rsidR="00000000" w:rsidRPr="00000000">
        <w:rPr>
          <w:color w:val="c7c7c7"/>
          <w:sz w:val="24"/>
          <w:szCs w:val="24"/>
          <w:shd w:fill="1a1d22" w:val="clear"/>
          <w:rtl w:val="0"/>
        </w:rPr>
        <w:t xml:space="preserve">Analyst's Notes</w:t>
      </w:r>
      <w:r w:rsidDel="00000000" w:rsidR="00000000" w:rsidRPr="00000000">
        <w:rPr>
          <w:b w:val="1"/>
          <w:bCs w:val="1"/>
          <w:rtl w:val="0"/>
        </w:rPr>
        <w:t xml:space="preserve"> </w:t>
        <w:br w:type="textWrapping"/>
        <w:t xml:space="preserve">EXECUTIVE RISK BRIEF: APRIL 2026 RANSOMWARE &amp; CYBER THREAT ACTIVITY</w:t>
      </w:r>
    </w:p>
    <w:p w:rsidR="00000000" w:rsidDel="00000000" w:rsidP="00000000" w:rsidRDefault="00000000" w:rsidRPr="00000000" w14:paraId="00000066">
      <w:pPr>
        <w:numPr>
          <w:ilvl w:val="0"/>
          <w:numId w:val="13"/>
        </w:numPr>
        <w:spacing w:after="0" w:afterAutospacing="0" w:before="240" w:lineRule="auto"/>
        <w:ind w:left="720" w:hanging="360"/>
      </w:pPr>
      <w:r w:rsidDel="00000000" w:rsidR="00000000" w:rsidRPr="00000000">
        <w:rPr>
          <w:b w:val="1"/>
          <w:bCs w:val="1"/>
          <w:rtl w:val="0"/>
        </w:rPr>
        <w:t xml:space="preserve">Strategic Shift to Pure Extortion:</w:t>
      </w:r>
      <w:r w:rsidDel="00000000" w:rsidR="00000000" w:rsidRPr="00000000">
        <w:rPr>
          <w:rtl w:val="0"/>
        </w:rPr>
        <w:t xml:space="preserve"> Global ransom payment rates plummeted to an all-time low of 28% in April 2026, driving threat actors to pivot structurally toward "extortion-only" or "data-theft first" models that bypass encryption to focus entirely on the public exposure of sensitive corporate data.</w:t>
      </w:r>
    </w:p>
    <w:p w:rsidR="00000000" w:rsidDel="00000000" w:rsidP="00000000" w:rsidRDefault="00000000" w:rsidRPr="00000000" w14:paraId="00000067">
      <w:pPr>
        <w:numPr>
          <w:ilvl w:val="0"/>
          <w:numId w:val="13"/>
        </w:numPr>
        <w:spacing w:after="0" w:afterAutospacing="0" w:before="0" w:beforeAutospacing="0" w:lineRule="auto"/>
        <w:ind w:left="720" w:hanging="360"/>
      </w:pPr>
      <w:r w:rsidDel="00000000" w:rsidR="00000000" w:rsidRPr="00000000">
        <w:rPr>
          <w:b w:val="1"/>
          <w:bCs w:val="1"/>
          <w:rtl w:val="0"/>
        </w:rPr>
        <w:t xml:space="preserve">Direct Financial Sector Targeting:</w:t>
      </w:r>
      <w:r w:rsidDel="00000000" w:rsidR="00000000" w:rsidRPr="00000000">
        <w:rPr>
          <w:rtl w:val="0"/>
        </w:rPr>
        <w:t xml:space="preserve"> The financial services industry recorded 48 confirmed ransomware victims this month, underscoring a continuous targeting of regulated entities where data exposure carries severe regulatory and reputational penalties.</w:t>
      </w:r>
    </w:p>
    <w:p w:rsidR="00000000" w:rsidDel="00000000" w:rsidP="00000000" w:rsidRDefault="00000000" w:rsidRPr="00000000" w14:paraId="00000068">
      <w:pPr>
        <w:numPr>
          <w:ilvl w:val="0"/>
          <w:numId w:val="13"/>
        </w:numPr>
        <w:spacing w:after="0" w:afterAutospacing="0" w:before="0" w:beforeAutospacing="0" w:lineRule="auto"/>
        <w:ind w:left="720" w:hanging="360"/>
      </w:pPr>
      <w:r w:rsidDel="00000000" w:rsidR="00000000" w:rsidRPr="00000000">
        <w:rPr>
          <w:b w:val="1"/>
          <w:bCs w:val="1"/>
          <w:rtl w:val="0"/>
        </w:rPr>
        <w:t xml:space="preserve">Critical Third-Party Vulnerability:</w:t>
      </w:r>
      <w:r w:rsidDel="00000000" w:rsidR="00000000" w:rsidRPr="00000000">
        <w:rPr>
          <w:rtl w:val="0"/>
        </w:rPr>
        <w:t xml:space="preserve"> Supply chain compromises represent our most acute perimeter exposure, evidenced by major April incidents where institutions, including Citizens Financial Group and Frost Bank, suffered data theft stemming entirely from third-party SaaS integrator and IT vendor breaches.</w:t>
      </w:r>
    </w:p>
    <w:p w:rsidR="00000000" w:rsidDel="00000000" w:rsidP="00000000" w:rsidRDefault="00000000" w:rsidRPr="00000000" w14:paraId="00000069">
      <w:pPr>
        <w:numPr>
          <w:ilvl w:val="0"/>
          <w:numId w:val="13"/>
        </w:numPr>
        <w:spacing w:after="0" w:afterAutospacing="0" w:before="0" w:beforeAutospacing="0" w:lineRule="auto"/>
        <w:ind w:left="720" w:hanging="360"/>
      </w:pPr>
      <w:r w:rsidDel="00000000" w:rsidR="00000000" w:rsidRPr="00000000">
        <w:rPr>
          <w:b w:val="1"/>
          <w:bCs w:val="1"/>
          <w:rtl w:val="0"/>
        </w:rPr>
        <w:t xml:space="preserve">Identity-Layer Exploitation Bypassing MFA:</w:t>
      </w:r>
      <w:r w:rsidDel="00000000" w:rsidR="00000000" w:rsidRPr="00000000">
        <w:rPr>
          <w:rtl w:val="0"/>
        </w:rPr>
        <w:t xml:space="preserve"> Traditional Multi-Factor Authentication (MFA) is failing against the current wave of session hijacking attacks; adversaries are increasingly purchasing harvested browser cookies on underground markets for as little as $10 to seamlessly bypass enterprise MFA controls.</w:t>
      </w:r>
    </w:p>
    <w:p w:rsidR="00000000" w:rsidDel="00000000" w:rsidP="00000000" w:rsidRDefault="00000000" w:rsidRPr="00000000" w14:paraId="0000006A">
      <w:pPr>
        <w:numPr>
          <w:ilvl w:val="0"/>
          <w:numId w:val="13"/>
        </w:numPr>
        <w:spacing w:after="0" w:afterAutospacing="0" w:before="0" w:beforeAutospacing="0" w:lineRule="auto"/>
        <w:ind w:left="720" w:hanging="360"/>
      </w:pPr>
      <w:r w:rsidDel="00000000" w:rsidR="00000000" w:rsidRPr="00000000">
        <w:rPr>
          <w:b w:val="1"/>
          <w:bCs w:val="1"/>
          <w:rtl w:val="0"/>
        </w:rPr>
        <w:t xml:space="preserve">Systematic Endpoint Defense Evasion:</w:t>
      </w:r>
      <w:r w:rsidDel="00000000" w:rsidR="00000000" w:rsidRPr="00000000">
        <w:rPr>
          <w:rtl w:val="0"/>
        </w:rPr>
        <w:t xml:space="preserve"> Top-tier ransomware syndicates dominating April's attack volume, such as Qilin and DragonForce, heavily deployed "Bring Your Own Vulnerable Driver" (BYOVD) techniques to gain kernel-level access and successfully terminate Endpoint Detection and Response (EDR) processes prior to launching their attacks.</w:t>
      </w:r>
    </w:p>
    <w:p w:rsidR="00000000" w:rsidDel="00000000" w:rsidP="00000000" w:rsidRDefault="00000000" w:rsidRPr="00000000" w14:paraId="0000006B">
      <w:pPr>
        <w:numPr>
          <w:ilvl w:val="0"/>
          <w:numId w:val="13"/>
        </w:numPr>
        <w:spacing w:after="240" w:before="0" w:beforeAutospacing="0" w:lineRule="auto"/>
        <w:ind w:left="720" w:hanging="360"/>
      </w:pPr>
      <w:r w:rsidDel="00000000" w:rsidR="00000000" w:rsidRPr="00000000">
        <w:rPr>
          <w:b w:val="1"/>
          <w:bCs w:val="1"/>
          <w:rtl w:val="0"/>
        </w:rPr>
        <w:t xml:space="preserve">Systemic Industrial-Scale Identity Fraud:</w:t>
      </w:r>
      <w:r w:rsidDel="00000000" w:rsidR="00000000" w:rsidRPr="00000000">
        <w:rPr>
          <w:rtl w:val="0"/>
        </w:rPr>
        <w:t xml:space="preserve"> The massive April breaches of centralized registries, notably the French National Agency for Secure Documents (ANTS) exposing up to 19 million records, have been combined with historical National Bank Accounts File (FICOBA) leaks to arm fraudsters with the exact IBANs and demographic data needed to execute highly automated, industrial-scale SEPA direct debit fraud across the Eurozone.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The April 2026 Everest ransomware breach of a shared document-production vendor affecting major U.S. banks demonstrates that downstream supply chain vulnerabilities now represent the most critical attack vector in the global financial ecosystem.</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4vy4t06uf0us" w:id="0"/>
      <w:bookmarkEnd w:id="0"/>
      <w:r w:rsidDel="00000000" w:rsidR="00000000" w:rsidRPr="00000000">
        <w:rPr>
          <w:b w:val="1"/>
          <w:bCs w:val="1"/>
          <w:color w:val="000000"/>
          <w:sz w:val="26"/>
          <w:szCs w:val="26"/>
          <w:rtl w:val="0"/>
        </w:rPr>
        <w:t xml:space="preserve">High Priority Business Risk</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6.1184851893515"/>
        <w:gridCol w:w="3629.3063367079117"/>
        <w:gridCol w:w="3400.0869891263596"/>
        <w:tblGridChange w:id="0">
          <w:tblGrid>
            <w:gridCol w:w="1996.1184851893515"/>
            <w:gridCol w:w="3629.3063367079117"/>
            <w:gridCol w:w="3400.086989126359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Risk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Strategic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Action Required</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Fourth-Party/Supply Chain Fragility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Complete bypass of internal bank perimeters, resulting in the exposure of highly sensitive customer data (SSNs, TINs) without direct system compromise.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Implement Continuous Controls Monitoring (CCM) and mandate real-time security posture validation for all critical ICT suppliers.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Extortion-Only Ransomware (Data Suppression)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Threat actors now prioritize data exfiltration over system encryption, negating the defensive value of traditional data backups and guaranteeing reputational damage.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Enforce persistent, data-centric (file-level) encryption that travels with the data payload to render exfiltrated files unreadable and useless for extortion.</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Regulatory &amp; Governance Liability (DORA)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Active 2026 enforcement of the EU Digital Operational Resilience Act (DORA) assigns ultimate legal and financial liability for ICT supply chain failures directly to the Board of Directors.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Apply Zero-Trust architecture to non-human identities (APIs, service accounts) and maintain comprehensive, real-time registers of all ICT dependencies.</w:t>
            </w:r>
          </w:p>
        </w:tc>
      </w:tr>
    </w:tbl>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xjnjqjc79ygi" w:id="1"/>
      <w:bookmarkEnd w:id="1"/>
      <w:r w:rsidDel="00000000" w:rsidR="00000000" w:rsidRPr="00000000">
        <w:rPr>
          <w:b w:val="1"/>
          <w:bCs w:val="1"/>
          <w:color w:val="000000"/>
          <w:sz w:val="26"/>
          <w:szCs w:val="26"/>
          <w:rtl w:val="0"/>
        </w:rPr>
        <w:t xml:space="preserve">How Are We Impact</w:t>
      </w:r>
    </w:p>
    <w:p w:rsidR="00000000" w:rsidDel="00000000" w:rsidP="00000000" w:rsidRDefault="00000000" w:rsidRPr="00000000" w14:paraId="0000007D">
      <w:pPr>
        <w:numPr>
          <w:ilvl w:val="0"/>
          <w:numId w:val="7"/>
        </w:numPr>
        <w:spacing w:after="0" w:afterAutospacing="0" w:before="240" w:lineRule="auto"/>
        <w:ind w:left="720" w:hanging="360"/>
      </w:pPr>
      <w:r w:rsidDel="00000000" w:rsidR="00000000" w:rsidRPr="00000000">
        <w:rPr>
          <w:b w:val="1"/>
          <w:bCs w:val="1"/>
          <w:rtl w:val="0"/>
        </w:rPr>
        <w:t xml:space="preserve">Inherited Vulnerability:</w:t>
      </w:r>
      <w:r w:rsidDel="00000000" w:rsidR="00000000" w:rsidRPr="00000000">
        <w:rPr>
          <w:rtl w:val="0"/>
        </w:rPr>
        <w:t xml:space="preserve"> The institution inherently absorbs the security weaknesses of its entire vendor ecosystem, exposing operations to severe federal litigation and multi-million dollar extortion demands despite fortified internal perimeter defenses.</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b w:val="1"/>
          <w:bCs w:val="1"/>
          <w:rtl w:val="0"/>
        </w:rPr>
        <w:t xml:space="preserve">Obsolete Recovery Strategies:</w:t>
      </w:r>
      <w:r w:rsidDel="00000000" w:rsidR="00000000" w:rsidRPr="00000000">
        <w:rPr>
          <w:rtl w:val="0"/>
        </w:rPr>
        <w:t xml:space="preserve"> The tactical shift toward extortion-only data theft means that existing disaster recovery and system backup investments are insufficient to prevent regulatory penalties or brand erosion following a downstream vendor breach.</w:t>
      </w:r>
    </w:p>
    <w:p w:rsidR="00000000" w:rsidDel="00000000" w:rsidP="00000000" w:rsidRDefault="00000000" w:rsidRPr="00000000" w14:paraId="0000007F">
      <w:pPr>
        <w:numPr>
          <w:ilvl w:val="0"/>
          <w:numId w:val="7"/>
        </w:numPr>
        <w:spacing w:after="240" w:before="0" w:beforeAutospacing="0" w:lineRule="auto"/>
        <w:ind w:left="720" w:hanging="360"/>
      </w:pPr>
      <w:r w:rsidDel="00000000" w:rsidR="00000000" w:rsidRPr="00000000">
        <w:rPr>
          <w:b w:val="1"/>
          <w:bCs w:val="1"/>
          <w:rtl w:val="0"/>
        </w:rPr>
        <w:t xml:space="preserve">Severe Governance Exposure:</w:t>
      </w:r>
      <w:r w:rsidDel="00000000" w:rsidR="00000000" w:rsidRPr="00000000">
        <w:rPr>
          <w:rtl w:val="0"/>
        </w:rPr>
        <w:t xml:space="preserve"> Under the active 2026 DORA supervisory audits, opaque third- or fourth-party breaches constitute severe governance failures, exposing EU-based management bodies to steep administrative fines and civil liability.</w:t>
      </w:r>
    </w:p>
    <w:p w:rsidR="00000000" w:rsidDel="00000000" w:rsidP="00000000" w:rsidRDefault="00000000" w:rsidRPr="00000000" w14:paraId="00000080">
      <w:pPr>
        <w:spacing w:after="240" w:before="240" w:lineRule="auto"/>
        <w:rPr/>
      </w:pPr>
      <w:r w:rsidDel="00000000" w:rsidR="00000000" w:rsidRPr="00000000">
        <w:rPr>
          <w:rtl w:val="0"/>
        </w:rPr>
        <w:t xml:space="preserve">To maintain operational resilience and mitigate systemic compliance risks, the institution must immediately abandon static annual vendor assessments in favor of automated, continuous third-party risk management and persistent data encryption.</w:t>
      </w:r>
    </w:p>
    <w:p w:rsidR="00000000" w:rsidDel="00000000" w:rsidP="00000000" w:rsidRDefault="00000000" w:rsidRPr="00000000" w14:paraId="000000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