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Conflict Validation Metrics</w:t>
      </w:r>
    </w:p>
    <w:p w:rsidR="00000000" w:rsidDel="00000000" w:rsidP="00000000" w:rsidRDefault="00000000" w:rsidRPr="00000000" w14:paraId="0000000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Operational Precedent:</w:t>
      </w:r>
      <w:r w:rsidDel="00000000" w:rsidR="00000000" w:rsidRPr="00000000">
        <w:rPr>
          <w:rFonts w:ascii="Google Sans" w:cs="Google Sans" w:eastAsia="Google Sans" w:hAnsi="Google Sans"/>
          <w:color w:val="1f1f1f"/>
          <w:rtl w:val="0"/>
        </w:rPr>
        <w:t xml:space="preserve"> Operation Epic Fury (Feb 28–Mar 4, 2026) validates the "First-Mover" doctrine. Cyber dominance is a mandatory prerequisite for kinetic theater entry.</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Pre-Kinetic Synchronization:</w:t>
      </w:r>
      <w:r w:rsidDel="00000000" w:rsidR="00000000" w:rsidRPr="00000000">
        <w:rPr>
          <w:rFonts w:ascii="Google Sans" w:cs="Google Sans" w:eastAsia="Google Sans" w:hAnsi="Google Sans"/>
          <w:color w:val="1f1f1f"/>
          <w:rtl w:val="0"/>
        </w:rPr>
        <w:t xml:space="preserve"> U.S. and Israeli cyber operations disabled Iranian early warning systems, state news outlets (IRNA/ISNA), and security communications precisely 30 minutes prior to airstrikes.</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Battlespace Transparency:</w:t>
      </w:r>
      <w:r w:rsidDel="00000000" w:rsidR="00000000" w:rsidRPr="00000000">
        <w:rPr>
          <w:rFonts w:ascii="Google Sans" w:cs="Google Sans" w:eastAsia="Google Sans" w:hAnsi="Google Sans"/>
          <w:color w:val="1f1f1f"/>
          <w:rtl w:val="0"/>
        </w:rPr>
        <w:t xml:space="preserve"> Pre-positioned compromise of Tehran’s traffic camera network enabled the targeted kinetic elimination of Supreme Leader Ali Khamenei.</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Infrastructure Annihilation:</w:t>
      </w:r>
      <w:r w:rsidDel="00000000" w:rsidR="00000000" w:rsidRPr="00000000">
        <w:rPr>
          <w:rFonts w:ascii="Google Sans" w:cs="Google Sans" w:eastAsia="Google Sans" w:hAnsi="Google Sans"/>
          <w:color w:val="1f1f1f"/>
          <w:rtl w:val="0"/>
        </w:rPr>
        <w:t xml:space="preserve"> Iranian national internet connectivity was engineered down to 1-4% of baseline capacity for over 48 hours, inducing total command-and-control paralysis.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Proxy Mobilization:</w:t>
      </w:r>
      <w:r w:rsidDel="00000000" w:rsidR="00000000" w:rsidRPr="00000000">
        <w:rPr>
          <w:rFonts w:ascii="Google Sans" w:cs="Google Sans" w:eastAsia="Google Sans" w:hAnsi="Google Sans"/>
          <w:color w:val="1f1f1f"/>
          <w:rtl w:val="0"/>
        </w:rPr>
        <w:t xml:space="preserve"> The degradation of central command triggered the autonomous mobilization of over 60 state-aligned hacktivist groups (e.g., Handala Hack Team, DieNet) executing retaliatory asymmetric campaigns.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ICS/OT Weaponization:</w:t>
      </w:r>
      <w:r w:rsidDel="00000000" w:rsidR="00000000" w:rsidRPr="00000000">
        <w:rPr>
          <w:rFonts w:ascii="Google Sans" w:cs="Google Sans" w:eastAsia="Google Sans" w:hAnsi="Google Sans"/>
          <w:color w:val="1f1f1f"/>
          <w:rtl w:val="0"/>
        </w:rPr>
        <w:t xml:space="preserve"> Industrial Control System (ICS) vulnerability exploitation experienced a 100% year-over-year volume increase from 2024 to 2025.</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Systemic Exposure Baselines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Interbank Liquidity Risk:</w:t>
      </w:r>
      <w:r w:rsidDel="00000000" w:rsidR="00000000" w:rsidRPr="00000000">
        <w:rPr>
          <w:rFonts w:ascii="Google Sans" w:cs="Google Sans" w:eastAsia="Google Sans" w:hAnsi="Google Sans"/>
          <w:color w:val="1f1f1f"/>
          <w:rtl w:val="0"/>
        </w:rPr>
        <w:t xml:space="preserve"> The threshold for a systemic interbank clearing disruption (equivalent to a catastrophic SWIFT compromise) is modeled at a $3.5 trillion global economic loss.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Correspondent Banking Contagion:</w:t>
      </w:r>
      <w:r w:rsidDel="00000000" w:rsidR="00000000" w:rsidRPr="00000000">
        <w:rPr>
          <w:rFonts w:ascii="Google Sans" w:cs="Google Sans" w:eastAsia="Google Sans" w:hAnsi="Google Sans"/>
          <w:color w:val="1f1f1f"/>
          <w:rtl w:val="0"/>
        </w:rPr>
        <w:t xml:space="preserve"> Physical and cyber strikes on Gulf State financial and data processing nodes (including an AWS data center in the UAE and military installations in Kuwait, Qatar, and Bahrain) establish direct contagion vectors for EU headquarters.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Illicit Capital Flight (AML/KYC):</w:t>
      </w:r>
      <w:r w:rsidDel="00000000" w:rsidR="00000000" w:rsidRPr="00000000">
        <w:rPr>
          <w:rFonts w:ascii="Google Sans" w:cs="Google Sans" w:eastAsia="Google Sans" w:hAnsi="Google Sans"/>
          <w:color w:val="1f1f1f"/>
          <w:rtl w:val="0"/>
        </w:rPr>
        <w:t xml:space="preserve"> Iranian cryptocurrency activity reached a $7.8 billion baseline in 2025. The March 2026 Ariomex exchange leak (exposing 11,826 transaction records across EU/US jurisdictions) triggers immediate, severe AML/KYC compliance exposure.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Macroeconomic Spillovers:</w:t>
      </w:r>
      <w:r w:rsidDel="00000000" w:rsidR="00000000" w:rsidRPr="00000000">
        <w:rPr>
          <w:rFonts w:ascii="Google Sans" w:cs="Google Sans" w:eastAsia="Google Sans" w:hAnsi="Google Sans"/>
          <w:color w:val="1f1f1f"/>
          <w:rtl w:val="0"/>
        </w:rPr>
        <w:t xml:space="preserve"> The de facto closure of the Strait of Hormuz has paralyzed the transit route for 20% of global petroleum consumption. Maritime war-risk insurance premiums have surged by 50-100%, driving a 15-25% inflation in global logistics costs.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Structural Degradation of European Infrastructure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 Threat Designation:</w:t>
      </w:r>
      <w:r w:rsidDel="00000000" w:rsidR="00000000" w:rsidRPr="00000000">
        <w:rPr>
          <w:rFonts w:ascii="Google Sans" w:cs="Google Sans" w:eastAsia="Google Sans" w:hAnsi="Google Sans"/>
          <w:color w:val="1f1f1f"/>
          <w:rtl w:val="0"/>
        </w:rPr>
        <w:t xml:space="preserve"> The Russian Federation constitutes the most active, structural threat to European macroeconomic stability, utilizing "gig-economy" proxy networks for sub-threshold sabotage.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Electromagnetic Weaponization:</w:t>
      </w:r>
      <w:r w:rsidDel="00000000" w:rsidR="00000000" w:rsidRPr="00000000">
        <w:rPr>
          <w:rFonts w:ascii="Google Sans" w:cs="Google Sans" w:eastAsia="Google Sans" w:hAnsi="Google Sans"/>
          <w:color w:val="1f1f1f"/>
          <w:rtl w:val="0"/>
        </w:rPr>
        <w:t xml:space="preserve"> Persistent GNSS/GPS spoofing and jamming, originating from Kaliningrad and the Kola Peninsula, currently degrades navigation for approximately 40% of European commercial aviation.</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Targeting Volume:</w:t>
      </w:r>
      <w:r w:rsidDel="00000000" w:rsidR="00000000" w:rsidRPr="00000000">
        <w:rPr>
          <w:rFonts w:ascii="Google Sans" w:cs="Google Sans" w:eastAsia="Google Sans" w:hAnsi="Google Sans"/>
          <w:color w:val="1f1f1f"/>
          <w:rtl w:val="0"/>
        </w:rPr>
        <w:t xml:space="preserve"> Russian-linked cyberattacks against French targets reached approximately 4,000 recorded incidents in 2024, representing a 15% operational increase.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Submarine Cable Sabotage:</w:t>
      </w:r>
      <w:r w:rsidDel="00000000" w:rsidR="00000000" w:rsidRPr="00000000">
        <w:rPr>
          <w:rFonts w:ascii="Google Sans" w:cs="Google Sans" w:eastAsia="Google Sans" w:hAnsi="Google Sans"/>
          <w:color w:val="1f1f1f"/>
          <w:rtl w:val="0"/>
        </w:rPr>
        <w:t xml:space="preserve"> Intelligence verifies 11 deliberate Baltic region cable incidents through 2025. The Russian maritime "shadow fleet" executes seabed warfare utilizing dual-use vessels (e.g., the </w:t>
      </w:r>
      <w:r w:rsidDel="00000000" w:rsidR="00000000" w:rsidRPr="00000000">
        <w:rPr>
          <w:rFonts w:ascii="Google Sans" w:cs="Google Sans" w:eastAsia="Google Sans" w:hAnsi="Google Sans"/>
          <w:i w:val="1"/>
          <w:iCs w:val="1"/>
          <w:color w:val="1f1f1f"/>
          <w:rtl w:val="0"/>
        </w:rPr>
        <w:t xml:space="preserve">Fitburg</w:t>
      </w:r>
      <w:r w:rsidDel="00000000" w:rsidR="00000000" w:rsidRPr="00000000">
        <w:rPr>
          <w:rFonts w:ascii="Google Sans" w:cs="Google Sans" w:eastAsia="Google Sans" w:hAnsi="Google Sans"/>
          <w:color w:val="1f1f1f"/>
          <w:rtl w:val="0"/>
        </w:rPr>
        <w:t xml:space="preserve"> 10km anchor drag incident) to sever critical telecommunications arteries.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Physical Friction:</w:t>
      </w:r>
      <w:r w:rsidDel="00000000" w:rsidR="00000000" w:rsidRPr="00000000">
        <w:rPr>
          <w:rFonts w:ascii="Google Sans" w:cs="Google Sans" w:eastAsia="Google Sans" w:hAnsi="Google Sans"/>
          <w:color w:val="1f1f1f"/>
          <w:rtl w:val="0"/>
        </w:rPr>
        <w:t xml:space="preserve"> Russia has platformized kinetic sabotage within EU borders, orchestrating arson, bomb threats, and railway network disruptions to impose continuous economic friction and psychological strain.</w:t>
      </w:r>
    </w:p>
    <w:p w:rsidR="00000000" w:rsidDel="00000000" w:rsidP="00000000" w:rsidRDefault="00000000" w:rsidRPr="00000000" w14:paraId="00000014">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Geopolitical Baseline: Operation Epic Fury</w:t>
      </w:r>
    </w:p>
    <w:p w:rsidR="00000000" w:rsidDel="00000000" w:rsidP="00000000" w:rsidRDefault="00000000" w:rsidRPr="00000000" w14:paraId="0000001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Pre-Kinetic Cyber Operations (First-Mover Doctrine)</w:t>
      </w:r>
    </w:p>
    <w:p w:rsidR="00000000" w:rsidDel="00000000" w:rsidP="00000000" w:rsidRDefault="00000000" w:rsidRPr="00000000" w14:paraId="00000016">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 Epic Fury establishes the "First-Mover" doctrine as a mandatory operational standard. Cyber and space dominance executed prior to physical theater entry dictated the battlespace geometry.</w:t>
      </w:r>
    </w:p>
    <w:p w:rsidR="00000000" w:rsidDel="00000000" w:rsidP="00000000" w:rsidRDefault="00000000" w:rsidRPr="00000000" w14:paraId="00000017">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30-Minute Synchronization Window:</w:t>
      </w:r>
      <w:r w:rsidDel="00000000" w:rsidR="00000000" w:rsidRPr="00000000">
        <w:rPr>
          <w:rFonts w:ascii="Google Sans" w:cs="Google Sans" w:eastAsia="Google Sans" w:hAnsi="Google Sans"/>
          <w:color w:val="1f1f1f"/>
          <w:rtl w:val="0"/>
        </w:rPr>
        <w:t xml:space="preserve"> Offensive cyber operations preceded kinetic airstrikes by exactly 30 minutes. The objective was absolute sensor blinding and command-and-control (C2) paralysis.</w:t>
      </w:r>
    </w:p>
    <w:p w:rsidR="00000000" w:rsidDel="00000000" w:rsidP="00000000" w:rsidRDefault="00000000" w:rsidRPr="00000000" w14:paraId="00000018">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 Infrastructure:</w:t>
      </w:r>
      <w:r w:rsidDel="00000000" w:rsidR="00000000" w:rsidRPr="00000000">
        <w:rPr>
          <w:rFonts w:ascii="Google Sans" w:cs="Google Sans" w:eastAsia="Google Sans" w:hAnsi="Google Sans"/>
          <w:color w:val="1f1f1f"/>
          <w:rtl w:val="0"/>
        </w:rPr>
        <w:t xml:space="preserve"> Joint USSPACECOM and USCYBERCOM operations successfully neutralized Iranian early warning sensors, state news distribution networks (IRNA, ISNA), and government crisis coordination platforms.</w:t>
      </w:r>
    </w:p>
    <w:p w:rsidR="00000000" w:rsidDel="00000000" w:rsidP="00000000" w:rsidRDefault="00000000" w:rsidRPr="00000000" w14:paraId="00000019">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Pre-Positioned Intelligence:</w:t>
      </w:r>
      <w:r w:rsidDel="00000000" w:rsidR="00000000" w:rsidRPr="00000000">
        <w:rPr>
          <w:rFonts w:ascii="Google Sans" w:cs="Google Sans" w:eastAsia="Google Sans" w:hAnsi="Google Sans"/>
          <w:color w:val="1f1f1f"/>
          <w:rtl w:val="0"/>
        </w:rPr>
        <w:t xml:space="preserve"> Israeli Signals Intelligence (Unit 8200) utilized a multi-year, persistent compromise of Tehran’s municipal traffic camera network. This sustained surveillance provided the real-time telemetry required to track high-value targets.</w:t>
      </w:r>
    </w:p>
    <w:p w:rsidR="00000000" w:rsidDel="00000000" w:rsidP="00000000" w:rsidRDefault="00000000" w:rsidRPr="00000000" w14:paraId="0000001A">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Annihilation:</w:t>
      </w:r>
      <w:r w:rsidDel="00000000" w:rsidR="00000000" w:rsidRPr="00000000">
        <w:rPr>
          <w:rFonts w:ascii="Google Sans" w:cs="Google Sans" w:eastAsia="Google Sans" w:hAnsi="Google Sans"/>
          <w:color w:val="1f1f1f"/>
          <w:rtl w:val="0"/>
        </w:rPr>
        <w:t xml:space="preserve"> At 07:06 UTC (Feb 28), Iranian internet traffic was throttled to 4%. By 11:47 UTC, secondary strikes reduced connectivity to near zero. Remaining nodes operated at 1% capacity for over 72 hours.</w:t>
      </w:r>
    </w:p>
    <w:p w:rsidR="00000000" w:rsidDel="00000000" w:rsidP="00000000" w:rsidRDefault="00000000" w:rsidRPr="00000000" w14:paraId="0000001B">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Kinetic Execution and Leadership Decapitation</w:t>
      </w:r>
    </w:p>
    <w:p w:rsidR="00000000" w:rsidDel="00000000" w:rsidP="00000000" w:rsidRDefault="00000000" w:rsidRPr="00000000" w14:paraId="0000001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integration of cyber telemetry enabled unprecedented kinetic precision and massing of force.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Engagement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Tactical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Validated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Aviation / Strike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&gt;5,000 munitions deployed by Israeli Air Force across &gt;2,000 targets.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Destruction of missile production sites, security command centers, and nuclear research facilities (Isfahan, Natanz).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Air Supremacy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F-35I intercept mission over Tehran.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recorded F-35 downing of a manned fighter (Iranian Yak-130). Complete denial of Iranian airspace.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Maritime Combat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Navy submarine deployment, Indian Ocean (near Sri Lanka).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Torpedo sinking of the frigate </w:t>
            </w:r>
            <w:r w:rsidDel="00000000" w:rsidR="00000000" w:rsidRPr="00000000">
              <w:rPr>
                <w:rFonts w:ascii="Google Sans" w:cs="Google Sans" w:eastAsia="Google Sans" w:hAnsi="Google Sans"/>
                <w:i w:val="1"/>
                <w:iCs w:val="1"/>
                <w:color w:val="1f1f1f"/>
                <w:rtl w:val="0"/>
              </w:rPr>
              <w:t xml:space="preserve">IRIS Dena</w:t>
            </w:r>
            <w:r w:rsidDel="00000000" w:rsidR="00000000" w:rsidRPr="00000000">
              <w:rPr>
                <w:rFonts w:ascii="Google Sans" w:cs="Google Sans" w:eastAsia="Google Sans" w:hAnsi="Google Sans"/>
                <w:color w:val="1f1f1f"/>
                <w:rtl w:val="0"/>
              </w:rPr>
              <w:t xml:space="preserve"> (80-85 fatalities). US Navy destroyed 17 additional Iranian surface vessels.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Targeted Decapitation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strike utilizing Unit 8200 traffic camera telemetry (~07:30 UTC).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death of Supreme Leader Ali Khamenei and senior IRGC special forces commander Rahman Mokaddam.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Casualties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Nationwide kinetic bombardment.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&gt;1,000 confirmed Iranian fatalities (inclusive of &gt;940 cited by Iranian Red Crescent).</w:t>
            </w:r>
          </w:p>
        </w:tc>
      </w:tr>
    </w:tbl>
    <w:p w:rsidR="00000000" w:rsidDel="00000000" w:rsidP="00000000" w:rsidRDefault="00000000" w:rsidRPr="00000000" w14:paraId="0000002F">
      <w:pPr>
        <w:pStyle w:val="Heading2"/>
        <w:spacing w:after="120" w:before="480" w:line="275.9999942779541" w:lineRule="auto"/>
        <w:rPr>
          <w:rFonts w:ascii="Google Sans" w:cs="Google Sans" w:eastAsia="Google Sans" w:hAnsi="Google Sans"/>
          <w:color w:val="1f1f1f"/>
        </w:rPr>
      </w:pPr>
      <w:bookmarkStart w:colFirst="0" w:colLast="0" w:name="_jtk7cdz5h98c" w:id="0"/>
      <w:bookmarkEnd w:id="0"/>
      <w:r w:rsidDel="00000000" w:rsidR="00000000" w:rsidRPr="00000000">
        <w:rPr>
          <w:rFonts w:ascii="Google Sans" w:cs="Google Sans" w:eastAsia="Google Sans" w:hAnsi="Google Sans"/>
          <w:color w:val="1f1f1f"/>
          <w:rtl w:val="0"/>
        </w:rPr>
        <w:t xml:space="preserve">2.3 Information Warfare and Psychological Operations</w:t>
      </w:r>
    </w:p>
    <w:p w:rsidR="00000000" w:rsidDel="00000000" w:rsidP="00000000" w:rsidRDefault="00000000" w:rsidRPr="00000000" w14:paraId="0000003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of the cognitive domain ran parallel to physical infrastructure destruction, weaponizing civilian technology to degrade adversary cohesion.</w:t>
      </w:r>
    </w:p>
    <w:p w:rsidR="00000000" w:rsidDel="00000000" w:rsidP="00000000" w:rsidRDefault="00000000" w:rsidRPr="00000000" w14:paraId="00000031">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BadeSaba App Compromise:</w:t>
      </w:r>
      <w:r w:rsidDel="00000000" w:rsidR="00000000" w:rsidRPr="00000000">
        <w:rPr>
          <w:rFonts w:ascii="Google Sans" w:cs="Google Sans" w:eastAsia="Google Sans" w:hAnsi="Google Sans"/>
          <w:color w:val="1f1f1f"/>
          <w:rtl w:val="0"/>
        </w:rPr>
        <w:t xml:space="preserve"> Offensive units hijacked the "BadeSaba" prayer application, deeply embedded within Iranian security and civilian demographics.</w:t>
      </w:r>
    </w:p>
    <w:p w:rsidR="00000000" w:rsidDel="00000000" w:rsidP="00000000" w:rsidRDefault="00000000" w:rsidRPr="00000000" w14:paraId="00000032">
      <w:pPr>
        <w:numPr>
          <w:ilvl w:val="1"/>
          <w:numId w:val="4"/>
        </w:numPr>
        <w:spacing w:after="0" w:afterAutospacing="0" w:line="275.9999942779541" w:lineRule="auto"/>
        <w:ind w:left="1440" w:hanging="360"/>
      </w:pPr>
      <w:r w:rsidDel="00000000" w:rsidR="00000000" w:rsidRPr="00000000">
        <w:rPr>
          <w:rFonts w:ascii="Google Sans" w:cs="Google Sans" w:eastAsia="Google Sans" w:hAnsi="Google Sans"/>
          <w:i w:val="1"/>
          <w:iCs w:val="1"/>
          <w:color w:val="1f1f1f"/>
          <w:rtl w:val="0"/>
        </w:rPr>
        <w:t xml:space="preserve">Execution:</w:t>
      </w:r>
      <w:r w:rsidDel="00000000" w:rsidR="00000000" w:rsidRPr="00000000">
        <w:rPr>
          <w:rFonts w:ascii="Google Sans" w:cs="Google Sans" w:eastAsia="Google Sans" w:hAnsi="Google Sans"/>
          <w:color w:val="1f1f1f"/>
          <w:rtl w:val="0"/>
        </w:rPr>
        <w:t xml:space="preserve"> Synchronized push notifications reading "Help is on the way / Time for reckoning" delivered to &gt;5 million users during the initial kinetic bombardment.</w:t>
      </w:r>
    </w:p>
    <w:p w:rsidR="00000000" w:rsidDel="00000000" w:rsidP="00000000" w:rsidRDefault="00000000" w:rsidRPr="00000000" w14:paraId="00000033">
      <w:pPr>
        <w:numPr>
          <w:ilvl w:val="1"/>
          <w:numId w:val="4"/>
        </w:numPr>
        <w:spacing w:after="0" w:afterAutospacing="0" w:before="0" w:beforeAutospacing="0" w:line="275.9999942779541" w:lineRule="auto"/>
        <w:ind w:left="1440" w:hanging="360"/>
      </w:pPr>
      <w:r w:rsidDel="00000000" w:rsidR="00000000" w:rsidRPr="00000000">
        <w:rPr>
          <w:rFonts w:ascii="Google Sans" w:cs="Google Sans" w:eastAsia="Google Sans" w:hAnsi="Google Sans"/>
          <w:i w:val="1"/>
          <w:iCs w:val="1"/>
          <w:color w:val="1f1f1f"/>
          <w:rtl w:val="0"/>
        </w:rPr>
        <w:t xml:space="preserve">Objective:</w:t>
      </w:r>
      <w:r w:rsidDel="00000000" w:rsidR="00000000" w:rsidRPr="00000000">
        <w:rPr>
          <w:rFonts w:ascii="Google Sans" w:cs="Google Sans" w:eastAsia="Google Sans" w:hAnsi="Google Sans"/>
          <w:color w:val="1f1f1f"/>
          <w:rtl w:val="0"/>
        </w:rPr>
        <w:t xml:space="preserve"> Maximize psychological demoralization, simulate internal uprising, and prompt immediate defection of security forces.</w:t>
      </w:r>
    </w:p>
    <w:p w:rsidR="00000000" w:rsidDel="00000000" w:rsidP="00000000" w:rsidRDefault="00000000" w:rsidRPr="00000000" w14:paraId="00000034">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C2 Friction and Friendly Fire:</w:t>
      </w:r>
      <w:r w:rsidDel="00000000" w:rsidR="00000000" w:rsidRPr="00000000">
        <w:rPr>
          <w:rFonts w:ascii="Google Sans" w:cs="Google Sans" w:eastAsia="Google Sans" w:hAnsi="Google Sans"/>
          <w:color w:val="1f1f1f"/>
          <w:rtl w:val="0"/>
        </w:rPr>
        <w:t xml:space="preserve"> The engineered "digital fog" and total communications blackout generated severe operational friction. This resulted in Iranian forces mistakenly firing upon and striking their own sanctioned "shadow fleet" tanker (</w:t>
      </w:r>
      <w:r w:rsidDel="00000000" w:rsidR="00000000" w:rsidRPr="00000000">
        <w:rPr>
          <w:rFonts w:ascii="Google Sans" w:cs="Google Sans" w:eastAsia="Google Sans" w:hAnsi="Google Sans"/>
          <w:i w:val="1"/>
          <w:iCs w:val="1"/>
          <w:color w:val="1f1f1f"/>
          <w:rtl w:val="0"/>
        </w:rPr>
        <w:t xml:space="preserve">Skylight</w:t>
      </w:r>
      <w:r w:rsidDel="00000000" w:rsidR="00000000" w:rsidRPr="00000000">
        <w:rPr>
          <w:rFonts w:ascii="Google Sans" w:cs="Google Sans" w:eastAsia="Google Sans" w:hAnsi="Google Sans"/>
          <w:color w:val="1f1f1f"/>
          <w:rtl w:val="0"/>
        </w:rPr>
        <w:t xml:space="preserve">) on March 1.</w:t>
      </w:r>
    </w:p>
    <w:p w:rsidR="00000000" w:rsidDel="00000000" w:rsidP="00000000" w:rsidRDefault="00000000" w:rsidRPr="00000000" w14:paraId="00000035">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Asymmetric IO Retaliation (RedAlert Trojan):</w:t>
      </w:r>
      <w:r w:rsidDel="00000000" w:rsidR="00000000" w:rsidRPr="00000000">
        <w:rPr>
          <w:rFonts w:ascii="Google Sans" w:cs="Google Sans" w:eastAsia="Google Sans" w:hAnsi="Google Sans"/>
          <w:color w:val="1f1f1f"/>
          <w:rtl w:val="0"/>
        </w:rPr>
        <w:t xml:space="preserve"> Pro-Iranian threat actors executed immediate counter-IO against Israeli civilians.</w:t>
      </w:r>
    </w:p>
    <w:p w:rsidR="00000000" w:rsidDel="00000000" w:rsidP="00000000" w:rsidRDefault="00000000" w:rsidRPr="00000000" w14:paraId="00000036">
      <w:pPr>
        <w:numPr>
          <w:ilvl w:val="1"/>
          <w:numId w:val="5"/>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Execution:</w:t>
      </w:r>
      <w:r w:rsidDel="00000000" w:rsidR="00000000" w:rsidRPr="00000000">
        <w:rPr>
          <w:rFonts w:ascii="Google Sans" w:cs="Google Sans" w:eastAsia="Google Sans" w:hAnsi="Google Sans"/>
          <w:color w:val="1f1f1f"/>
          <w:rtl w:val="0"/>
        </w:rPr>
        <w:t xml:space="preserve"> Deployment of the </w:t>
      </w:r>
      <w:r w:rsidDel="00000000" w:rsidR="00000000" w:rsidRPr="00000000">
        <w:rPr>
          <w:rFonts w:ascii="Google Sans" w:cs="Google Sans" w:eastAsia="Google Sans" w:hAnsi="Google Sans"/>
          <w:i w:val="1"/>
          <w:iCs w:val="1"/>
          <w:color w:val="1f1f1f"/>
          <w:rtl w:val="0"/>
        </w:rPr>
        <w:t xml:space="preserve">PromptSpy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RedAlert</w:t>
      </w:r>
      <w:r w:rsidDel="00000000" w:rsidR="00000000" w:rsidRPr="00000000">
        <w:rPr>
          <w:rFonts w:ascii="Google Sans" w:cs="Google Sans" w:eastAsia="Google Sans" w:hAnsi="Google Sans"/>
          <w:color w:val="1f1f1f"/>
          <w:rtl w:val="0"/>
        </w:rPr>
        <w:t xml:space="preserve"> Trojan campaigns via SMS spoofing, masquerading as the Israeli Home Front Command emergency warning system.</w:t>
      </w:r>
    </w:p>
    <w:p w:rsidR="00000000" w:rsidDel="00000000" w:rsidP="00000000" w:rsidRDefault="00000000" w:rsidRPr="00000000" w14:paraId="00000037">
      <w:pPr>
        <w:numPr>
          <w:ilvl w:val="1"/>
          <w:numId w:val="5"/>
        </w:numP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Objective:</w:t>
      </w:r>
      <w:r w:rsidDel="00000000" w:rsidR="00000000" w:rsidRPr="00000000">
        <w:rPr>
          <w:rFonts w:ascii="Google Sans" w:cs="Google Sans" w:eastAsia="Google Sans" w:hAnsi="Google Sans"/>
          <w:color w:val="1f1f1f"/>
          <w:rtl w:val="0"/>
        </w:rPr>
        <w:t xml:space="preserve"> Exploit wartime panic to bypass security hygiene. The malware harvested crowdsourced GPS telemetry to map civilian shelters and IDF reservist deployment concentrations.</w:t>
      </w:r>
    </w:p>
    <w:p w:rsidR="00000000" w:rsidDel="00000000" w:rsidP="00000000" w:rsidRDefault="00000000" w:rsidRPr="00000000" w14:paraId="00000038">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Systemic Financial Sector Risk</w:t>
      </w:r>
    </w:p>
    <w:p w:rsidR="00000000" w:rsidDel="00000000" w:rsidP="00000000" w:rsidRDefault="00000000" w:rsidRPr="00000000" w14:paraId="0000003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Interbank Clearing Disruption Models ($3.5T Threshold)</w:t>
      </w:r>
    </w:p>
    <w:p w:rsidR="00000000" w:rsidDel="00000000" w:rsidP="00000000" w:rsidRDefault="00000000" w:rsidRPr="00000000" w14:paraId="0000003A">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Systemic Baseline:</w:t>
      </w:r>
      <w:r w:rsidDel="00000000" w:rsidR="00000000" w:rsidRPr="00000000">
        <w:rPr>
          <w:rFonts w:ascii="Google Sans" w:cs="Google Sans" w:eastAsia="Google Sans" w:hAnsi="Google Sans"/>
          <w:color w:val="1f1f1f"/>
          <w:rtl w:val="0"/>
        </w:rPr>
        <w:t xml:space="preserve"> Actuarial models designate $3.5 trillion as the global economic loss threshold for a coordinated cyberattack compromising centralized interbank messaging architecture (e.g., SWIFT).</w:t>
      </w:r>
    </w:p>
    <w:p w:rsidR="00000000" w:rsidDel="00000000" w:rsidP="00000000" w:rsidRDefault="00000000" w:rsidRPr="00000000" w14:paraId="0000003B">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Contagion Mechanics:</w:t>
      </w:r>
      <w:r w:rsidDel="00000000" w:rsidR="00000000" w:rsidRPr="00000000">
        <w:rPr>
          <w:rFonts w:ascii="Google Sans" w:cs="Google Sans" w:eastAsia="Google Sans" w:hAnsi="Google Sans"/>
          <w:color w:val="1f1f1f"/>
          <w:rtl w:val="0"/>
        </w:rPr>
        <w:t xml:space="preserve"> Failure propagates simultaneously via three vectors: short-term liquidity hoarding, long-term counterparty default, and market panic-driven asset fire-sales.</w:t>
      </w:r>
    </w:p>
    <w:p w:rsidR="00000000" w:rsidDel="00000000" w:rsidP="00000000" w:rsidRDefault="00000000" w:rsidRPr="00000000" w14:paraId="0000003C">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Loss Benchmarks:</w:t>
      </w:r>
    </w:p>
    <w:p w:rsidR="00000000" w:rsidDel="00000000" w:rsidP="00000000" w:rsidRDefault="00000000" w:rsidRPr="00000000" w14:paraId="0000003D">
      <w:pPr>
        <w:numPr>
          <w:ilvl w:val="1"/>
          <w:numId w:val="3"/>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Operation Ababil (2012):</w:t>
      </w:r>
      <w:r w:rsidDel="00000000" w:rsidR="00000000" w:rsidRPr="00000000">
        <w:rPr>
          <w:rFonts w:ascii="Google Sans" w:cs="Google Sans" w:eastAsia="Google Sans" w:hAnsi="Google Sans"/>
          <w:color w:val="1f1f1f"/>
          <w:rtl w:val="0"/>
        </w:rPr>
        <w:t xml:space="preserve"> $100,000 per hour in remediation for targeted institutions.</w:t>
      </w:r>
    </w:p>
    <w:p w:rsidR="00000000" w:rsidDel="00000000" w:rsidP="00000000" w:rsidRDefault="00000000" w:rsidRPr="00000000" w14:paraId="0000003E">
      <w:pPr>
        <w:numPr>
          <w:ilvl w:val="1"/>
          <w:numId w:val="3"/>
        </w:numP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Lazarus Group (2016):</w:t>
      </w:r>
      <w:r w:rsidDel="00000000" w:rsidR="00000000" w:rsidRPr="00000000">
        <w:rPr>
          <w:rFonts w:ascii="Google Sans" w:cs="Google Sans" w:eastAsia="Google Sans" w:hAnsi="Google Sans"/>
          <w:color w:val="1f1f1f"/>
          <w:rtl w:val="0"/>
        </w:rPr>
        <w:t xml:space="preserve"> $81 million direct capital extraction via SWIFT.</w:t>
      </w:r>
    </w:p>
    <w:p w:rsidR="00000000" w:rsidDel="00000000" w:rsidP="00000000" w:rsidRDefault="00000000" w:rsidRPr="00000000" w14:paraId="0000003F">
      <w:pPr>
        <w:numPr>
          <w:ilvl w:val="1"/>
          <w:numId w:val="3"/>
        </w:numP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DarkSeoul &amp; Carbanak:</w:t>
      </w:r>
      <w:r w:rsidDel="00000000" w:rsidR="00000000" w:rsidRPr="00000000">
        <w:rPr>
          <w:rFonts w:ascii="Google Sans" w:cs="Google Sans" w:eastAsia="Google Sans" w:hAnsi="Google Sans"/>
          <w:color w:val="1f1f1f"/>
          <w:rtl w:val="0"/>
        </w:rPr>
        <w:t xml:space="preserve"> Combined damages exceeding $1.7 billion.</w:t>
      </w:r>
    </w:p>
    <w:p w:rsidR="00000000" w:rsidDel="00000000" w:rsidP="00000000" w:rsidRDefault="00000000" w:rsidRPr="00000000" w14:paraId="00000040">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Subversion Archetypes:</w:t>
      </w:r>
      <w:r w:rsidDel="00000000" w:rsidR="00000000" w:rsidRPr="00000000">
        <w:rPr>
          <w:rFonts w:ascii="Google Sans" w:cs="Google Sans" w:eastAsia="Google Sans" w:hAnsi="Google Sans"/>
          <w:color w:val="1f1f1f"/>
          <w:rtl w:val="0"/>
        </w:rPr>
        <w:t xml:space="preserve"> High-tier adversaries utilize </w:t>
      </w:r>
      <w:r w:rsidDel="00000000" w:rsidR="00000000" w:rsidRPr="00000000">
        <w:rPr>
          <w:rFonts w:ascii="Google Sans" w:cs="Google Sans" w:eastAsia="Google Sans" w:hAnsi="Google Sans"/>
          <w:i w:val="1"/>
          <w:iCs w:val="1"/>
          <w:color w:val="1f1f1f"/>
          <w:rtl w:val="0"/>
        </w:rPr>
        <w:t xml:space="preserve">Alliance Access</w:t>
      </w:r>
      <w:r w:rsidDel="00000000" w:rsidR="00000000" w:rsidRPr="00000000">
        <w:rPr>
          <w:rFonts w:ascii="Google Sans" w:cs="Google Sans" w:eastAsia="Google Sans" w:hAnsi="Google Sans"/>
          <w:color w:val="1f1f1f"/>
          <w:rtl w:val="0"/>
        </w:rPr>
        <w:t xml:space="preserve"> malware for unauthorized message masking and PDF manipulation, deliberately delaying institutional confirmation protocols.</w:t>
      </w:r>
    </w:p>
    <w:p w:rsidR="00000000" w:rsidDel="00000000" w:rsidP="00000000" w:rsidRDefault="00000000" w:rsidRPr="00000000" w14:paraId="00000041">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Correspondent Banking Contagion via Gulf State Nodes</w:t>
      </w:r>
    </w:p>
    <w:p w:rsidR="00000000" w:rsidDel="00000000" w:rsidP="00000000" w:rsidRDefault="00000000" w:rsidRPr="00000000" w14:paraId="00000042">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Strategic Chokepoints:</w:t>
      </w:r>
      <w:r w:rsidDel="00000000" w:rsidR="00000000" w:rsidRPr="00000000">
        <w:rPr>
          <w:rFonts w:ascii="Google Sans" w:cs="Google Sans" w:eastAsia="Google Sans" w:hAnsi="Google Sans"/>
          <w:color w:val="1f1f1f"/>
          <w:rtl w:val="0"/>
        </w:rPr>
        <w:t xml:space="preserve"> Institutions in the UAE, Saudi Arabia, Bahrain, and Qatar function as critical liquidity intermediaries. Pro-Iranian proxies (e.g., DieNet) execute sustained DDoS campaigns against regional nodes like Riyadh Bank and Bank of Jordan.</w:t>
      </w:r>
    </w:p>
    <w:p w:rsidR="00000000" w:rsidDel="00000000" w:rsidP="00000000" w:rsidRDefault="00000000" w:rsidRPr="00000000" w14:paraId="00000043">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Physical-Cyber Spillover:</w:t>
      </w:r>
      <w:r w:rsidDel="00000000" w:rsidR="00000000" w:rsidRPr="00000000">
        <w:rPr>
          <w:rFonts w:ascii="Google Sans" w:cs="Google Sans" w:eastAsia="Google Sans" w:hAnsi="Google Sans"/>
          <w:color w:val="1f1f1f"/>
          <w:rtl w:val="0"/>
        </w:rPr>
        <w:t xml:space="preserve"> Geographic collocation of financial nodes with kinetic targets (e.g., AWS data center in UAE, military installations in Kuwait, Qatar, Bahrain) injects operational friction into cross-border payment processing.</w:t>
      </w:r>
    </w:p>
    <w:p w:rsidR="00000000" w:rsidDel="00000000" w:rsidP="00000000" w:rsidRDefault="00000000" w:rsidRPr="00000000" w14:paraId="00000044">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EU Contagion Vector:</w:t>
      </w:r>
      <w:r w:rsidDel="00000000" w:rsidR="00000000" w:rsidRPr="00000000">
        <w:rPr>
          <w:rFonts w:ascii="Google Sans" w:cs="Google Sans" w:eastAsia="Google Sans" w:hAnsi="Google Sans"/>
          <w:color w:val="1f1f1f"/>
          <w:rtl w:val="0"/>
        </w:rPr>
        <w:t xml:space="preserve"> Respondent bank disruption in the GCC guarantees payment routing failures, liquidity traps, and forced manual clearing interventions at European correspondent headquarters.</w:t>
      </w:r>
    </w:p>
    <w:p w:rsidR="00000000" w:rsidDel="00000000" w:rsidP="00000000" w:rsidRDefault="00000000" w:rsidRPr="00000000" w14:paraId="00000045">
      <w:pPr>
        <w:pStyle w:val="Heading2"/>
        <w:spacing w:after="120" w:before="120" w:line="275.9999942779541" w:lineRule="auto"/>
        <w:rPr>
          <w:rFonts w:ascii="Google Sans" w:cs="Google Sans" w:eastAsia="Google Sans" w:hAnsi="Google Sans"/>
          <w:color w:val="1f1f1f"/>
        </w:rPr>
      </w:pPr>
      <w:bookmarkStart w:colFirst="0" w:colLast="0" w:name="_hm80u5i84eyv" w:id="1"/>
      <w:bookmarkEnd w:id="1"/>
      <w:r w:rsidDel="00000000" w:rsidR="00000000" w:rsidRPr="00000000">
        <w:rPr>
          <w:rFonts w:ascii="Google Sans" w:cs="Google Sans" w:eastAsia="Google Sans" w:hAnsi="Google Sans"/>
          <w:color w:val="1f1f1f"/>
          <w:rtl w:val="0"/>
        </w:rPr>
        <w:t xml:space="preserve">3.3 Illicit Capital Flight Mechanics and Crypto-Asset Evasion</w:t>
      </w:r>
    </w:p>
    <w:p w:rsidR="00000000" w:rsidDel="00000000" w:rsidP="00000000" w:rsidRDefault="00000000" w:rsidRPr="00000000" w14:paraId="00000046">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Capital Flight Baseline:</w:t>
      </w:r>
      <w:r w:rsidDel="00000000" w:rsidR="00000000" w:rsidRPr="00000000">
        <w:rPr>
          <w:rFonts w:ascii="Google Sans" w:cs="Google Sans" w:eastAsia="Google Sans" w:hAnsi="Google Sans"/>
          <w:color w:val="1f1f1f"/>
          <w:rtl w:val="0"/>
        </w:rPr>
        <w:t xml:space="preserve"> Iranian cryptocurrency transaction volumes reached $7.8 billion in 2025. $3 billion is directly linked to IRGC-affiliated entities.</w:t>
      </w:r>
    </w:p>
    <w:p w:rsidR="00000000" w:rsidDel="00000000" w:rsidP="00000000" w:rsidRDefault="00000000" w:rsidRPr="00000000" w14:paraId="00000047">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Ariomex Intelligence Leak (March 2026):</w:t>
      </w:r>
      <w:r w:rsidDel="00000000" w:rsidR="00000000" w:rsidRPr="00000000">
        <w:rPr>
          <w:rFonts w:ascii="Google Sans" w:cs="Google Sans" w:eastAsia="Google Sans" w:hAnsi="Google Sans"/>
          <w:color w:val="1f1f1f"/>
          <w:rtl w:val="0"/>
        </w:rPr>
        <w:t xml:space="preserve"> Exposure of 11,826 transaction records confirms the Iran-based Ariomex exchange operates as a shadow financial institution for sanctions evasion.</w:t>
      </w:r>
    </w:p>
    <w:p w:rsidR="00000000" w:rsidDel="00000000" w:rsidP="00000000" w:rsidRDefault="00000000" w:rsidRPr="00000000" w14:paraId="00000048">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Evasion Methodologies:</w:t>
      </w:r>
    </w:p>
    <w:p w:rsidR="00000000" w:rsidDel="00000000" w:rsidP="00000000" w:rsidRDefault="00000000" w:rsidRPr="00000000" w14:paraId="00000049">
      <w:pPr>
        <w:numPr>
          <w:ilvl w:val="1"/>
          <w:numId w:val="1"/>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High-volume stablecoin routing (70% concentration in Tether and Tron).</w:t>
      </w:r>
    </w:p>
    <w:p w:rsidR="00000000" w:rsidDel="00000000" w:rsidP="00000000" w:rsidRDefault="00000000" w:rsidRPr="00000000" w14:paraId="0000004A">
      <w:pPr>
        <w:numPr>
          <w:ilvl w:val="1"/>
          <w:numId w:val="1"/>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Layered peer-to-peer (P2P) internal transfers.</w:t>
      </w:r>
    </w:p>
    <w:p w:rsidR="00000000" w:rsidDel="00000000" w:rsidP="00000000" w:rsidRDefault="00000000" w:rsidRPr="00000000" w14:paraId="0000004B">
      <w:pPr>
        <w:numPr>
          <w:ilvl w:val="1"/>
          <w:numId w:val="1"/>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Exploitation of intermediary wallets and shell accounts.</w:t>
      </w:r>
    </w:p>
    <w:p w:rsidR="00000000" w:rsidDel="00000000" w:rsidP="00000000" w:rsidRDefault="00000000" w:rsidRPr="00000000" w14:paraId="0000004C">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AML/KYC Regulatory Threat:</w:t>
      </w:r>
      <w:r w:rsidDel="00000000" w:rsidR="00000000" w:rsidRPr="00000000">
        <w:rPr>
          <w:rFonts w:ascii="Google Sans" w:cs="Google Sans" w:eastAsia="Google Sans" w:hAnsi="Google Sans"/>
          <w:color w:val="1f1f1f"/>
          <w:rtl w:val="0"/>
        </w:rPr>
        <w:t xml:space="preserve"> The Ariomex leak documents active transaction footprints across EU and US jurisdictions (Germany, France, Netherlands). The theft of 43 million French job-seeker records facilitates sophisticated account takeovers, directly breaching EU banking compliance perimeters.</w:t>
      </w:r>
    </w:p>
    <w:p w:rsidR="00000000" w:rsidDel="00000000" w:rsidP="00000000" w:rsidRDefault="00000000" w:rsidRPr="00000000" w14:paraId="0000004D">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Macroeconomic Spillovers</w:t>
      </w:r>
    </w:p>
    <w:p w:rsidR="00000000" w:rsidDel="00000000" w:rsidP="00000000" w:rsidRDefault="00000000" w:rsidRPr="00000000" w14:paraId="0000004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Strait of Hormuz Maritime Blockade</w:t>
      </w:r>
    </w:p>
    <w:p w:rsidR="00000000" w:rsidDel="00000000" w:rsidP="00000000" w:rsidRDefault="00000000" w:rsidRPr="00000000" w14:paraId="0000004F">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Chokepoint Paralysis:</w:t>
      </w:r>
      <w:r w:rsidDel="00000000" w:rsidR="00000000" w:rsidRPr="00000000">
        <w:rPr>
          <w:rFonts w:ascii="Google Sans" w:cs="Google Sans" w:eastAsia="Google Sans" w:hAnsi="Google Sans"/>
          <w:color w:val="1f1f1f"/>
          <w:rtl w:val="0"/>
        </w:rPr>
        <w:t xml:space="preserve"> The Strait of Hormuz, responsible for the transit of 14 million barrels per day (20-21% of global petroleum consumption), is effectively closed.</w:t>
      </w:r>
    </w:p>
    <w:p w:rsidR="00000000" w:rsidDel="00000000" w:rsidP="00000000" w:rsidRDefault="00000000" w:rsidRPr="00000000" w14:paraId="00000050">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Kinetic Enforcement:</w:t>
      </w:r>
      <w:r w:rsidDel="00000000" w:rsidR="00000000" w:rsidRPr="00000000">
        <w:rPr>
          <w:rFonts w:ascii="Google Sans" w:cs="Google Sans" w:eastAsia="Google Sans" w:hAnsi="Google Sans"/>
          <w:color w:val="1f1f1f"/>
          <w:rtl w:val="0"/>
        </w:rPr>
        <w:t xml:space="preserve"> De facto blockade initiated by Iranian missile and drone strikes on the sanctioned tanker </w:t>
      </w:r>
      <w:r w:rsidDel="00000000" w:rsidR="00000000" w:rsidRPr="00000000">
        <w:rPr>
          <w:rFonts w:ascii="Google Sans" w:cs="Google Sans" w:eastAsia="Google Sans" w:hAnsi="Google Sans"/>
          <w:i w:val="1"/>
          <w:iCs w:val="1"/>
          <w:color w:val="1f1f1f"/>
          <w:rtl w:val="0"/>
        </w:rPr>
        <w:t xml:space="preserve">Skylight</w:t>
      </w:r>
      <w:r w:rsidDel="00000000" w:rsidR="00000000" w:rsidRPr="00000000">
        <w:rPr>
          <w:rFonts w:ascii="Google Sans" w:cs="Google Sans" w:eastAsia="Google Sans" w:hAnsi="Google Sans"/>
          <w:color w:val="1f1f1f"/>
          <w:rtl w:val="0"/>
        </w:rPr>
        <w:t xml:space="preserve">. U.S. Navy surface engagements resulted in the destruction of 17 Iranian vessels.</w:t>
      </w:r>
    </w:p>
    <w:p w:rsidR="00000000" w:rsidDel="00000000" w:rsidP="00000000" w:rsidRDefault="00000000" w:rsidRPr="00000000" w14:paraId="00000051">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Navigation Denial:</w:t>
      </w:r>
      <w:r w:rsidDel="00000000" w:rsidR="00000000" w:rsidRPr="00000000">
        <w:rPr>
          <w:rFonts w:ascii="Google Sans" w:cs="Google Sans" w:eastAsia="Google Sans" w:hAnsi="Google Sans"/>
          <w:color w:val="1f1f1f"/>
          <w:rtl w:val="0"/>
        </w:rPr>
        <w:t xml:space="preserve"> Over 1,100 commercial vessels have been subjected to intense GPS/GNSS spoofing, forcing mass rerouting around the Cape of Good Hope.</w:t>
      </w:r>
    </w:p>
    <w:p w:rsidR="00000000" w:rsidDel="00000000" w:rsidP="00000000" w:rsidRDefault="00000000" w:rsidRPr="00000000" w14:paraId="00000052">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Aviation Grounding:</w:t>
      </w:r>
      <w:r w:rsidDel="00000000" w:rsidR="00000000" w:rsidRPr="00000000">
        <w:rPr>
          <w:rFonts w:ascii="Google Sans" w:cs="Google Sans" w:eastAsia="Google Sans" w:hAnsi="Google Sans"/>
          <w:color w:val="1f1f1f"/>
          <w:rtl w:val="0"/>
        </w:rPr>
        <w:t xml:space="preserve"> Complete airspace denial. Major regional logistics carriers (Qatar Airways, Emirates, Etihad) suspended operations, paralyzing Middle Eastern air freight corridors.</w:t>
      </w:r>
    </w:p>
    <w:p w:rsidR="00000000" w:rsidDel="00000000" w:rsidP="00000000" w:rsidRDefault="00000000" w:rsidRPr="00000000" w14:paraId="00000053">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Energy Market Shocks and Logistics Inflation</w:t>
      </w:r>
    </w:p>
    <w:p w:rsidR="00000000" w:rsidDel="00000000" w:rsidP="00000000" w:rsidRDefault="00000000" w:rsidRPr="00000000" w14:paraId="00000054">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Price Surges:</w:t>
      </w:r>
      <w:r w:rsidDel="00000000" w:rsidR="00000000" w:rsidRPr="00000000">
        <w:rPr>
          <w:rFonts w:ascii="Google Sans" w:cs="Google Sans" w:eastAsia="Google Sans" w:hAnsi="Google Sans"/>
          <w:color w:val="1f1f1f"/>
          <w:rtl w:val="0"/>
        </w:rPr>
        <w:t xml:space="preserve"> Current oil prices eclipsed the $80 threshold; European natural gas prices doubled within 72 hours. Predictive models indicate a sustained blockade will drive Brent Crude to $150–$180 per barrel, with transient spikes exceeding $200.</w:t>
      </w:r>
    </w:p>
    <w:p w:rsidR="00000000" w:rsidDel="00000000" w:rsidP="00000000" w:rsidRDefault="00000000" w:rsidRPr="00000000" w14:paraId="00000055">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LNG Supply Crisis:</w:t>
      </w:r>
      <w:r w:rsidDel="00000000" w:rsidR="00000000" w:rsidRPr="00000000">
        <w:rPr>
          <w:rFonts w:ascii="Google Sans" w:cs="Google Sans" w:eastAsia="Google Sans" w:hAnsi="Google Sans"/>
          <w:color w:val="1f1f1f"/>
          <w:rtl w:val="0"/>
        </w:rPr>
        <w:t xml:space="preserve"> Qatar suspended LNG production. Immediate zero-sum competition initiated between European and Asian markets for U.S. LNG exports.</w:t>
      </w:r>
    </w:p>
    <w:p w:rsidR="00000000" w:rsidDel="00000000" w:rsidP="00000000" w:rsidRDefault="00000000" w:rsidRPr="00000000" w14:paraId="00000056">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Insurance Premium Hyperinflation:</w:t>
      </w:r>
      <w:r w:rsidDel="00000000" w:rsidR="00000000" w:rsidRPr="00000000">
        <w:rPr>
          <w:rFonts w:ascii="Google Sans" w:cs="Google Sans" w:eastAsia="Google Sans" w:hAnsi="Google Sans"/>
          <w:color w:val="1f1f1f"/>
          <w:rtl w:val="0"/>
        </w:rPr>
        <w:t xml:space="preserve"> Maritime war-risk premiums spiked by 500% (5x baseline). Marine hull insurance surged 25-50% within the Persian Gulf.</w:t>
      </w:r>
    </w:p>
    <w:p w:rsidR="00000000" w:rsidDel="00000000" w:rsidP="00000000" w:rsidRDefault="00000000" w:rsidRPr="00000000" w14:paraId="00000057">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Macro-Inflationary Impact:</w:t>
      </w:r>
      <w:r w:rsidDel="00000000" w:rsidR="00000000" w:rsidRPr="00000000">
        <w:rPr>
          <w:rFonts w:ascii="Google Sans" w:cs="Google Sans" w:eastAsia="Google Sans" w:hAnsi="Google Sans"/>
          <w:color w:val="1f1f1f"/>
          <w:rtl w:val="0"/>
        </w:rPr>
        <w:t xml:space="preserve"> Global logistics costs exhibit an immediate 15-25% inflation. Sovereign debt models indicate resulting inflationary pressure risks pushing the U.S. 10-Year Treasury yield to 6.00%–6.50%, initiating capital flight that will severely stress highly leveraged European debt sectors.</w:t>
      </w:r>
    </w:p>
    <w:p w:rsidR="00000000" w:rsidDel="00000000" w:rsidP="00000000" w:rsidRDefault="00000000" w:rsidRPr="00000000" w14:paraId="00000058">
      <w:pPr>
        <w:pStyle w:val="Heading2"/>
        <w:spacing w:after="120" w:before="120" w:line="275.9999942779541" w:lineRule="auto"/>
        <w:rPr>
          <w:rFonts w:ascii="Google Sans" w:cs="Google Sans" w:eastAsia="Google Sans" w:hAnsi="Google Sans"/>
          <w:color w:val="1f1f1f"/>
        </w:rPr>
      </w:pPr>
      <w:bookmarkStart w:colFirst="0" w:colLast="0" w:name="_n1fb2xq56a4s" w:id="2"/>
      <w:bookmarkEnd w:id="2"/>
      <w:r w:rsidDel="00000000" w:rsidR="00000000" w:rsidRPr="00000000">
        <w:rPr>
          <w:rFonts w:ascii="Google Sans" w:cs="Google Sans" w:eastAsia="Google Sans" w:hAnsi="Google Sans"/>
          <w:color w:val="1f1f1f"/>
          <w:rtl w:val="0"/>
        </w:rPr>
        <w:t xml:space="preserve">4.3 Shadow Fleet Sabotage of European Undersea Infrastructure</w:t>
      </w:r>
    </w:p>
    <w:p w:rsidR="00000000" w:rsidDel="00000000" w:rsidP="00000000" w:rsidRDefault="00000000" w:rsidRPr="00000000" w14:paraId="00000059">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Seabed Warfare Doctrine:</w:t>
      </w:r>
      <w:r w:rsidDel="00000000" w:rsidR="00000000" w:rsidRPr="00000000">
        <w:rPr>
          <w:rFonts w:ascii="Google Sans" w:cs="Google Sans" w:eastAsia="Google Sans" w:hAnsi="Google Sans"/>
          <w:color w:val="1f1f1f"/>
          <w:rtl w:val="0"/>
        </w:rPr>
        <w:t xml:space="preserve"> The Russian Federation weaponizes a maritime "shadow fleet" to execute deniable sabotage against critical European submarine telecommunications and energy arteries.</w:t>
      </w:r>
    </w:p>
    <w:p w:rsidR="00000000" w:rsidDel="00000000" w:rsidP="00000000" w:rsidRDefault="00000000" w:rsidRPr="00000000" w14:paraId="0000005A">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Incident Volume:</w:t>
      </w:r>
      <w:r w:rsidDel="00000000" w:rsidR="00000000" w:rsidRPr="00000000">
        <w:rPr>
          <w:rFonts w:ascii="Google Sans" w:cs="Google Sans" w:eastAsia="Google Sans" w:hAnsi="Google Sans"/>
          <w:color w:val="1f1f1f"/>
          <w:rtl w:val="0"/>
        </w:rPr>
        <w:t xml:space="preserve"> Intelligence confirms 11 deliberate Baltic region cable severance events through 2025.</w:t>
      </w:r>
    </w:p>
    <w:p w:rsidR="00000000" w:rsidDel="00000000" w:rsidP="00000000" w:rsidRDefault="00000000" w:rsidRPr="00000000" w14:paraId="0000005B">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 Mechanics:</w:t>
      </w:r>
      <w:r w:rsidDel="00000000" w:rsidR="00000000" w:rsidRPr="00000000">
        <w:rPr>
          <w:rFonts w:ascii="Google Sans" w:cs="Google Sans" w:eastAsia="Google Sans" w:hAnsi="Google Sans"/>
          <w:color w:val="1f1f1f"/>
          <w:rtl w:val="0"/>
        </w:rPr>
        <w:t xml:space="preserve"> Covert sabotage utilizes "accidental" anchor drags. The December 31, 2025, Estonian EEZ cable cut was directly attributed to a 10km anchor drag by the shadow fleet vessel </w:t>
      </w:r>
      <w:r w:rsidDel="00000000" w:rsidR="00000000" w:rsidRPr="00000000">
        <w:rPr>
          <w:rFonts w:ascii="Google Sans" w:cs="Google Sans" w:eastAsia="Google Sans" w:hAnsi="Google Sans"/>
          <w:i w:val="1"/>
          <w:iCs w:val="1"/>
          <w:color w:val="1f1f1f"/>
          <w:rtl w:val="0"/>
        </w:rPr>
        <w:t xml:space="preserve">Fitburg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Fleet Characteristics:</w:t>
      </w:r>
      <w:r w:rsidDel="00000000" w:rsidR="00000000" w:rsidRPr="00000000">
        <w:rPr>
          <w:rFonts w:ascii="Google Sans" w:cs="Google Sans" w:eastAsia="Google Sans" w:hAnsi="Google Sans"/>
          <w:color w:val="1f1f1f"/>
          <w:rtl w:val="0"/>
        </w:rPr>
        <w:t xml:space="preserve"> Vessels utilize flags of convenience and disabled AIS transponders to evade sanctions monitoring. Assets function as dual-use intelligence platforms, hosting personnel and deploying aerial drones into EU sovereign territory.</w:t>
      </w:r>
    </w:p>
    <w:p w:rsidR="00000000" w:rsidDel="00000000" w:rsidP="00000000" w:rsidRDefault="00000000" w:rsidRPr="00000000" w14:paraId="0000005D">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Sub-Threshold Friction:</w:t>
      </w:r>
      <w:r w:rsidDel="00000000" w:rsidR="00000000" w:rsidRPr="00000000">
        <w:rPr>
          <w:rFonts w:ascii="Google Sans" w:cs="Google Sans" w:eastAsia="Google Sans" w:hAnsi="Google Sans"/>
          <w:color w:val="1f1f1f"/>
          <w:rtl w:val="0"/>
        </w:rPr>
        <w:t xml:space="preserve"> This maritime capability runs parallel to physical hybrid operations—including arson, bomb threats, and railway network disruptions—platformized by Russia within EU borders to sustain macroeconomic friction.</w:t>
      </w:r>
    </w:p>
    <w:p w:rsidR="00000000" w:rsidDel="00000000" w:rsidP="00000000" w:rsidRDefault="00000000" w:rsidRPr="00000000" w14:paraId="0000005E">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Threat Actor Matrix and Command Structures</w:t>
      </w:r>
    </w:p>
    <w:p w:rsidR="00000000" w:rsidDel="00000000" w:rsidP="00000000" w:rsidRDefault="00000000" w:rsidRPr="00000000" w14:paraId="0000005F">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Russian Structural and Electromagnetic Operations</w:t>
      </w:r>
    </w:p>
    <w:p w:rsidR="00000000" w:rsidDel="00000000" w:rsidP="00000000" w:rsidRDefault="00000000" w:rsidRPr="00000000" w14:paraId="0000006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Russian Federation executes a continuous, sub-threshold campaign utilizing geographic bastions and deniable maritime assets to degrade European macroeconomic stability.</w:t>
      </w:r>
    </w:p>
    <w:p w:rsidR="00000000" w:rsidDel="00000000" w:rsidP="00000000" w:rsidRDefault="00000000" w:rsidRPr="00000000" w14:paraId="00000061">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Electromagnetic Weaponization (A2/AD):</w:t>
      </w:r>
      <w:r w:rsidDel="00000000" w:rsidR="00000000" w:rsidRPr="00000000">
        <w:rPr>
          <w:rFonts w:ascii="Google Sans" w:cs="Google Sans" w:eastAsia="Google Sans" w:hAnsi="Google Sans"/>
          <w:color w:val="1f1f1f"/>
          <w:rtl w:val="0"/>
        </w:rPr>
        <w:t xml:space="preserve"> Utilization of a 1.6km antenna array in Kaliningrad and installations on the Kola Peninsula to project regional GPS/GNSS spoofing. This generates a "GPS Hangover" effect, corrupting receiver ephemeris data and currently impacting 40% of European commercial aviation.</w:t>
      </w:r>
    </w:p>
    <w:p w:rsidR="00000000" w:rsidDel="00000000" w:rsidP="00000000" w:rsidRDefault="00000000" w:rsidRPr="00000000" w14:paraId="00000062">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Maritime Shadow Fleet:</w:t>
      </w:r>
      <w:r w:rsidDel="00000000" w:rsidR="00000000" w:rsidRPr="00000000">
        <w:rPr>
          <w:rFonts w:ascii="Google Sans" w:cs="Google Sans" w:eastAsia="Google Sans" w:hAnsi="Google Sans"/>
          <w:color w:val="1f1f1f"/>
          <w:rtl w:val="0"/>
        </w:rPr>
        <w:t xml:space="preserve"> Deployment of sanctioned, dual-use vessels (e.g., </w:t>
      </w:r>
      <w:r w:rsidDel="00000000" w:rsidR="00000000" w:rsidRPr="00000000">
        <w:rPr>
          <w:rFonts w:ascii="Google Sans" w:cs="Google Sans" w:eastAsia="Google Sans" w:hAnsi="Google Sans"/>
          <w:i w:val="1"/>
          <w:iCs w:val="1"/>
          <w:color w:val="1f1f1f"/>
          <w:rtl w:val="0"/>
        </w:rPr>
        <w:t xml:space="preserve">Fitburg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Newnew Polar Bear</w:t>
      </w:r>
      <w:r w:rsidDel="00000000" w:rsidR="00000000" w:rsidRPr="00000000">
        <w:rPr>
          <w:rFonts w:ascii="Google Sans" w:cs="Google Sans" w:eastAsia="Google Sans" w:hAnsi="Google Sans"/>
          <w:color w:val="1f1f1f"/>
          <w:rtl w:val="0"/>
        </w:rPr>
        <w:t xml:space="preserve">) operating with disabled transponders and flags of convenience. Primary objective: seabed warfare. Intelligence verifies 11 deliberate Baltic region submarine cable severance incidents through 2025, executed via covert anchor drags.</w:t>
      </w:r>
    </w:p>
    <w:p w:rsidR="00000000" w:rsidDel="00000000" w:rsidP="00000000" w:rsidRDefault="00000000" w:rsidRPr="00000000" w14:paraId="00000063">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Kinetic Sabotage Network:</w:t>
      </w:r>
      <w:r w:rsidDel="00000000" w:rsidR="00000000" w:rsidRPr="00000000">
        <w:rPr>
          <w:rFonts w:ascii="Google Sans" w:cs="Google Sans" w:eastAsia="Google Sans" w:hAnsi="Google Sans"/>
          <w:color w:val="1f1f1f"/>
          <w:rtl w:val="0"/>
        </w:rPr>
        <w:t xml:space="preserve"> Platformization of "gig-economy" proxy networks to execute physical friction within EU borders. Documented operations include coordinated arson-for-hire (Lithuania, UK, Germany), bomb threats at European transport hubs, and railway network disruptions in Poland.</w:t>
      </w:r>
    </w:p>
    <w:p w:rsidR="00000000" w:rsidDel="00000000" w:rsidP="00000000" w:rsidRDefault="00000000" w:rsidRPr="00000000" w14:paraId="00000064">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Iranian Proxy Mobilization and Operational Autonomy</w:t>
      </w:r>
    </w:p>
    <w:p w:rsidR="00000000" w:rsidDel="00000000" w:rsidP="00000000" w:rsidRDefault="00000000" w:rsidRPr="00000000" w14:paraId="0000006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systematic degradation of Iranian central command (MOIS/IRGC) via kinetic strikes and engineered internet blackouts forced a decentralized, highly volatile retaliatory posture.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Threat 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Shift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Targets / TTPs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Handala Hack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Escalated from regional disruption to transnational repression. Bypassed domestic internet blackout utilizing Starlink.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Gulf energy sector (Sharjah National Oil Corp), Israeli defense think tanks (INSS). Coordinated assassination bounties with Mexican CJNG cartel.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Dust Specter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malware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Utilized AI-assisted .NET malware variants (SplitDrop, GhostForm) targeting Iraqi government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APT35 (Charming Kitten)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Doctrine shift: Abandoned long-term espionage in favor of immediate destructive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Deployed destructive ransomware and volumetric DDoS attacks against U.S. and Israeli critical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APT34 (OilRig)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Covert pre-positioning and zero-day exploitation. Assessed 75% probability of activation within 24-72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Exploits Microsoft Exchange and chains Ivanti CSA zero-days to implant backdoors within Gulf-state governments.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Cotton Sandstorm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revival for regional destabilization.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Resurrected the "Altoufan Team" persona to execute targeting against Bahrain and broader GCC infrastructure.</w:t>
            </w:r>
          </w:p>
        </w:tc>
      </w:tr>
    </w:tbl>
    <w:p w:rsidR="00000000" w:rsidDel="00000000" w:rsidP="00000000" w:rsidRDefault="00000000" w:rsidRPr="00000000" w14:paraId="00000078">
      <w:pPr>
        <w:pStyle w:val="Heading2"/>
        <w:spacing w:after="120" w:before="480" w:line="275.9999942779541" w:lineRule="auto"/>
        <w:rPr>
          <w:rFonts w:ascii="Google Sans" w:cs="Google Sans" w:eastAsia="Google Sans" w:hAnsi="Google Sans"/>
          <w:color w:val="1f1f1f"/>
        </w:rPr>
      </w:pPr>
      <w:bookmarkStart w:colFirst="0" w:colLast="0" w:name="_gh2rkgr31t6w" w:id="3"/>
      <w:bookmarkEnd w:id="3"/>
      <w:r w:rsidDel="00000000" w:rsidR="00000000" w:rsidRPr="00000000">
        <w:rPr>
          <w:rFonts w:ascii="Google Sans" w:cs="Google Sans" w:eastAsia="Google Sans" w:hAnsi="Google Sans"/>
          <w:color w:val="1f1f1f"/>
          <w:rtl w:val="0"/>
        </w:rPr>
        <w:t xml:space="preserve">5.3 Chinese Strategic Infiltration and Quantum Testing</w:t>
      </w:r>
    </w:p>
    <w:p w:rsidR="00000000" w:rsidDel="00000000" w:rsidP="00000000" w:rsidRDefault="00000000" w:rsidRPr="00000000" w14:paraId="00000079">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People's Republic of China (PRC) maintains a strictly strategic posture, prioritizing structural infiltration and next-generation cryptographic dominance over immediate disruptive actions.</w:t>
      </w:r>
    </w:p>
    <w:p w:rsidR="00000000" w:rsidDel="00000000" w:rsidP="00000000" w:rsidRDefault="00000000" w:rsidRPr="00000000" w14:paraId="0000007A">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Multi-Tiered Access Brokering (UNC5174):</w:t>
      </w:r>
      <w:r w:rsidDel="00000000" w:rsidR="00000000" w:rsidRPr="00000000">
        <w:rPr>
          <w:rFonts w:ascii="Google Sans" w:cs="Google Sans" w:eastAsia="Google Sans" w:hAnsi="Google Sans"/>
          <w:color w:val="1f1f1f"/>
          <w:rtl w:val="0"/>
        </w:rPr>
        <w:t xml:space="preserve"> Threat group UNC5174 (Houken) targets perimeter devices utilizing chained zero-day exploits (e.g., CVE-2024-8963, CVE-2024-9380 on Ivanti CSA; CVE-2025-22457 on Ivanti VPN). Initial access vectors deploy in-memory payloads (TRAILBLAZE, BRUSHFIRE). Persistent access is subsequently brokered to secondary state units, such as UNC5221 (SPAWN), for long-term intelligence extraction.</w:t>
      </w:r>
    </w:p>
    <w:p w:rsidR="00000000" w:rsidDel="00000000" w:rsidP="00000000" w:rsidRDefault="00000000" w:rsidRPr="00000000" w14:paraId="0000007B">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European Critical Infrastructure Targeting:</w:t>
      </w:r>
      <w:r w:rsidDel="00000000" w:rsidR="00000000" w:rsidRPr="00000000">
        <w:rPr>
          <w:rFonts w:ascii="Google Sans" w:cs="Google Sans" w:eastAsia="Google Sans" w:hAnsi="Google Sans"/>
          <w:color w:val="1f1f1f"/>
          <w:rtl w:val="0"/>
        </w:rPr>
        <w:t xml:space="preserve"> Documented infiltration of French critical infrastructure by UNC5174 utilizing the aforementioned Ivanti exploit chains (July 2025).</w:t>
      </w:r>
    </w:p>
    <w:p w:rsidR="00000000" w:rsidDel="00000000" w:rsidP="00000000" w:rsidRDefault="00000000" w:rsidRPr="00000000" w14:paraId="0000007C">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Cryptanalytic Weaponization:</w:t>
      </w:r>
      <w:r w:rsidDel="00000000" w:rsidR="00000000" w:rsidRPr="00000000">
        <w:rPr>
          <w:rFonts w:ascii="Google Sans" w:cs="Google Sans" w:eastAsia="Google Sans" w:hAnsi="Google Sans"/>
          <w:color w:val="1f1f1f"/>
          <w:rtl w:val="0"/>
        </w:rPr>
        <w:t xml:space="preserve"> The People's Liberation Army (PLA) is actively field-testing over 10 distinct quantum-based cyber weapons. Primary objectives encompass frontline codebreaking missions and the execution of "Harvest Now, Decrypt Later" (HNDL) data exfiltration against Western financial and government targets.</w:t>
      </w:r>
    </w:p>
    <w:p w:rsidR="00000000" w:rsidDel="00000000" w:rsidP="00000000" w:rsidRDefault="00000000" w:rsidRPr="00000000" w14:paraId="0000007D">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Tactical Methodologies (TTPs)</w:t>
      </w:r>
    </w:p>
    <w:p w:rsidR="00000000" w:rsidDel="00000000" w:rsidP="00000000" w:rsidRDefault="00000000" w:rsidRPr="00000000" w14:paraId="0000007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AI-Quantum Convergence and Algorithmic De-organization</w:t>
      </w:r>
    </w:p>
    <w:p w:rsidR="00000000" w:rsidDel="00000000" w:rsidP="00000000" w:rsidRDefault="00000000" w:rsidRPr="00000000" w14:paraId="0000007F">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De-organization:</w:t>
      </w:r>
      <w:r w:rsidDel="00000000" w:rsidR="00000000" w:rsidRPr="00000000">
        <w:rPr>
          <w:rFonts w:ascii="Google Sans" w:cs="Google Sans" w:eastAsia="Google Sans" w:hAnsi="Google Sans"/>
          <w:color w:val="1f1f1f"/>
          <w:rtl w:val="0"/>
        </w:rPr>
        <w:t xml:space="preserve"> Threat actors deploy advanced AI to simulate quantum cryptanalytic capabilities, mathematically degrading classical encryption baselines ahead of the availability of fault-tolerant quantum hardware.</w:t>
      </w:r>
    </w:p>
    <w:p w:rsidR="00000000" w:rsidDel="00000000" w:rsidP="00000000" w:rsidRDefault="00000000" w:rsidRPr="00000000" w14:paraId="00000080">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Agentic AI Weaponization:</w:t>
      </w:r>
      <w:r w:rsidDel="00000000" w:rsidR="00000000" w:rsidRPr="00000000">
        <w:rPr>
          <w:rFonts w:ascii="Google Sans" w:cs="Google Sans" w:eastAsia="Google Sans" w:hAnsi="Google Sans"/>
          <w:color w:val="1f1f1f"/>
          <w:rtl w:val="0"/>
        </w:rPr>
        <w:t xml:space="preserve"> Autonomous LLM agents execute hyper-personalized, mass-scale spear-phishing (e.g., mimicking Israeli </w:t>
      </w:r>
      <w:r w:rsidDel="00000000" w:rsidR="00000000" w:rsidRPr="00000000">
        <w:rPr>
          <w:rFonts w:ascii="Google Sans" w:cs="Google Sans" w:eastAsia="Google Sans" w:hAnsi="Google Sans"/>
          <w:i w:val="1"/>
          <w:iCs w:val="1"/>
          <w:color w:val="1f1f1f"/>
          <w:rtl w:val="0"/>
        </w:rPr>
        <w:t xml:space="preserve">RedAlert</w:t>
      </w:r>
      <w:r w:rsidDel="00000000" w:rsidR="00000000" w:rsidRPr="00000000">
        <w:rPr>
          <w:rFonts w:ascii="Google Sans" w:cs="Google Sans" w:eastAsia="Google Sans" w:hAnsi="Google Sans"/>
          <w:color w:val="1f1f1f"/>
          <w:rtl w:val="0"/>
        </w:rPr>
        <w:t xml:space="preserve"> applications) and automate zero-day vulnerability discovery without human intervention.</w:t>
      </w:r>
    </w:p>
    <w:p w:rsidR="00000000" w:rsidDel="00000000" w:rsidP="00000000" w:rsidRDefault="00000000" w:rsidRPr="00000000" w14:paraId="00000081">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Evasion Architecture:</w:t>
      </w:r>
      <w:r w:rsidDel="00000000" w:rsidR="00000000" w:rsidRPr="00000000">
        <w:rPr>
          <w:rFonts w:ascii="Google Sans" w:cs="Google Sans" w:eastAsia="Google Sans" w:hAnsi="Google Sans"/>
          <w:color w:val="1f1f1f"/>
          <w:rtl w:val="0"/>
        </w:rPr>
        <w:t xml:space="preserve"> The integration of AI with early-stage Quantum Machine Learning (QML) optimizes evasion algorithms, accelerating malware adaptation cycles and generating unpredictable, high-dimensional attack vectors.</w:t>
      </w:r>
    </w:p>
    <w:p w:rsidR="00000000" w:rsidDel="00000000" w:rsidP="00000000" w:rsidRDefault="00000000" w:rsidRPr="00000000" w14:paraId="00000082">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Destructive Malware Deployment (ICS/OT Weaponization)</w:t>
      </w:r>
    </w:p>
    <w:p w:rsidR="00000000" w:rsidDel="00000000" w:rsidP="00000000" w:rsidRDefault="00000000" w:rsidRPr="00000000" w14:paraId="00000083">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IOCONTROL (QUEUECAT) Architecture:</w:t>
      </w:r>
      <w:r w:rsidDel="00000000" w:rsidR="00000000" w:rsidRPr="00000000">
        <w:rPr>
          <w:rFonts w:ascii="Google Sans" w:cs="Google Sans" w:eastAsia="Google Sans" w:hAnsi="Google Sans"/>
          <w:color w:val="1f1f1f"/>
          <w:rtl w:val="0"/>
        </w:rPr>
        <w:t xml:space="preserve"> A modular, custom-built Linux/ARM backdoor heavily deployed against Western critical infrastructure, specifically targeting ICS/OT environments such as PLCs, routers, and fuel management systems (e.g., Gasboy/ORPAK).</w:t>
      </w:r>
    </w:p>
    <w:p w:rsidR="00000000" w:rsidDel="00000000" w:rsidP="00000000" w:rsidRDefault="00000000" w:rsidRPr="00000000" w14:paraId="00000084">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C2 Obfuscation:</w:t>
      </w:r>
      <w:r w:rsidDel="00000000" w:rsidR="00000000" w:rsidRPr="00000000">
        <w:rPr>
          <w:rFonts w:ascii="Google Sans" w:cs="Google Sans" w:eastAsia="Google Sans" w:hAnsi="Google Sans"/>
          <w:color w:val="1f1f1f"/>
          <w:rtl w:val="0"/>
        </w:rPr>
        <w:t xml:space="preserve"> IOCONTROL disguises command-and-control traffic by abusing legitimate IoT messaging protocols (MQTT over TLS via ports 1883/8883) and leveraging DNS-over-HTTPS (DoH) via Cloudflare to bypass perimeter monitoring and attribution.</w:t>
      </w:r>
    </w:p>
    <w:p w:rsidR="00000000" w:rsidDel="00000000" w:rsidP="00000000" w:rsidRDefault="00000000" w:rsidRPr="00000000" w14:paraId="00000085">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Wiper Arsenal:</w:t>
      </w:r>
      <w:r w:rsidDel="00000000" w:rsidR="00000000" w:rsidRPr="00000000">
        <w:rPr>
          <w:rFonts w:ascii="Google Sans" w:cs="Google Sans" w:eastAsia="Google Sans" w:hAnsi="Google Sans"/>
          <w:color w:val="1f1f1f"/>
          <w:rtl w:val="0"/>
        </w:rPr>
        <w:t xml:space="preserve"> Iranian state actors and decentralized proxies maintain an active arsenal of over 15 distinct wiper malware families. Prominent variants including ZeroCleare, DEADWOOD, and Meteor are engineered for immediate, unrecoverable data destruction to inflict physical-equivalent friction.</w:t>
      </w:r>
    </w:p>
    <w:p w:rsidR="00000000" w:rsidDel="00000000" w:rsidP="00000000" w:rsidRDefault="00000000" w:rsidRPr="00000000" w14:paraId="00000086">
      <w:pPr>
        <w:pStyle w:val="Heading2"/>
        <w:spacing w:after="120" w:before="120" w:line="275.9999942779541" w:lineRule="auto"/>
        <w:rPr>
          <w:rFonts w:ascii="Google Sans" w:cs="Google Sans" w:eastAsia="Google Sans" w:hAnsi="Google Sans"/>
          <w:color w:val="1f1f1f"/>
        </w:rPr>
      </w:pPr>
      <w:bookmarkStart w:colFirst="0" w:colLast="0" w:name="_ru2tluwh1l03" w:id="4"/>
      <w:bookmarkEnd w:id="4"/>
      <w:r w:rsidDel="00000000" w:rsidR="00000000" w:rsidRPr="00000000">
        <w:rPr>
          <w:rFonts w:ascii="Google Sans" w:cs="Google Sans" w:eastAsia="Google Sans" w:hAnsi="Google Sans"/>
          <w:color w:val="1f1f1f"/>
          <w:rtl w:val="0"/>
        </w:rPr>
        <w:t xml:space="preserve">6.3 Initial Access Vectors and Living-off-the-Land (LOTL)</w:t>
      </w:r>
    </w:p>
    <w:p w:rsidR="00000000" w:rsidDel="00000000" w:rsidP="00000000" w:rsidRDefault="00000000" w:rsidRPr="00000000" w14:paraId="00000087">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Fileless Subversion (LOTL):</w:t>
      </w:r>
      <w:r w:rsidDel="00000000" w:rsidR="00000000" w:rsidRPr="00000000">
        <w:rPr>
          <w:rFonts w:ascii="Google Sans" w:cs="Google Sans" w:eastAsia="Google Sans" w:hAnsi="Google Sans"/>
          <w:color w:val="1f1f1f"/>
          <w:rtl w:val="0"/>
        </w:rPr>
        <w:t xml:space="preserve"> Adversaries systematically execute Living-off-the-Land strategies, repurposing legitimate native operating system binaries (LOLBins) such as PowerShell, WMI, and certutil to conduct operations without dropping signature-detectable executables.</w:t>
      </w:r>
    </w:p>
    <w:p w:rsidR="00000000" w:rsidDel="00000000" w:rsidP="00000000" w:rsidRDefault="00000000" w:rsidRPr="00000000" w14:paraId="00000088">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RMM Tool Abuse:</w:t>
      </w:r>
      <w:r w:rsidDel="00000000" w:rsidR="00000000" w:rsidRPr="00000000">
        <w:rPr>
          <w:rFonts w:ascii="Google Sans" w:cs="Google Sans" w:eastAsia="Google Sans" w:hAnsi="Google Sans"/>
          <w:color w:val="1f1f1f"/>
          <w:rtl w:val="0"/>
        </w:rPr>
        <w:t xml:space="preserve"> Persistent access is frequently established through the exploitation of trusted Remote Monitoring and Management (RMM) software, including PDQ and Action1, effectively blinding traditional Endpoint Detection and Response (EDR) heuristics.</w:t>
      </w:r>
    </w:p>
    <w:p w:rsidR="00000000" w:rsidDel="00000000" w:rsidP="00000000" w:rsidRDefault="00000000" w:rsidRPr="00000000" w14:paraId="00000089">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Protocol Masquerading:</w:t>
      </w:r>
      <w:r w:rsidDel="00000000" w:rsidR="00000000" w:rsidRPr="00000000">
        <w:rPr>
          <w:rFonts w:ascii="Google Sans" w:cs="Google Sans" w:eastAsia="Google Sans" w:hAnsi="Google Sans"/>
          <w:color w:val="1f1f1f"/>
          <w:rtl w:val="0"/>
        </w:rPr>
        <w:t xml:space="preserve"> Lateral movement and data exfiltration are executed via standard network channels and administrative tooling, rendering malicious activity indistinguishable from routine IT administration and minimizing the adversary's digital footprint.</w:t>
      </w:r>
    </w:p>
    <w:p w:rsidR="00000000" w:rsidDel="00000000" w:rsidP="00000000" w:rsidRDefault="00000000" w:rsidRPr="00000000" w14:paraId="0000008A">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Priority Intelligence Gaps</w:t>
      </w:r>
    </w:p>
    <w:p w:rsidR="00000000" w:rsidDel="00000000" w:rsidP="00000000" w:rsidRDefault="00000000" w:rsidRPr="00000000" w14:paraId="0000008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SWIFT Backup System Integrity</w:t>
      </w:r>
    </w:p>
    <w:p w:rsidR="00000000" w:rsidDel="00000000" w:rsidP="00000000" w:rsidRDefault="00000000" w:rsidRPr="00000000" w14:paraId="0000008C">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Intelligence Deficit:</w:t>
      </w:r>
      <w:r w:rsidDel="00000000" w:rsidR="00000000" w:rsidRPr="00000000">
        <w:rPr>
          <w:rFonts w:ascii="Google Sans" w:cs="Google Sans" w:eastAsia="Google Sans" w:hAnsi="Google Sans"/>
          <w:color w:val="1f1f1f"/>
          <w:rtl w:val="0"/>
        </w:rPr>
        <w:t xml:space="preserve"> Verifiable failover capability and "secure zone" boundary enforcement during a synchronized state-sponsored attack.</w:t>
      </w:r>
    </w:p>
    <w:p w:rsidR="00000000" w:rsidDel="00000000" w:rsidP="00000000" w:rsidRDefault="00000000" w:rsidRPr="00000000" w14:paraId="0000008D">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Architectural Risk:</w:t>
      </w:r>
      <w:r w:rsidDel="00000000" w:rsidR="00000000" w:rsidRPr="00000000">
        <w:rPr>
          <w:rFonts w:ascii="Google Sans" w:cs="Google Sans" w:eastAsia="Google Sans" w:hAnsi="Google Sans"/>
          <w:color w:val="1f1f1f"/>
          <w:rtl w:val="0"/>
        </w:rPr>
        <w:t xml:space="preserve"> SWIFT Customer Security Programme (CSP) mandates strict logical separation for production infrastructure. However, encrypted backup files are permitted to reside outside the secure zone.</w:t>
      </w:r>
    </w:p>
    <w:p w:rsidR="00000000" w:rsidDel="00000000" w:rsidP="00000000" w:rsidRDefault="00000000" w:rsidRPr="00000000" w14:paraId="0000008E">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Exploitation Vector:</w:t>
      </w:r>
      <w:r w:rsidDel="00000000" w:rsidR="00000000" w:rsidRPr="00000000">
        <w:rPr>
          <w:rFonts w:ascii="Google Sans" w:cs="Google Sans" w:eastAsia="Google Sans" w:hAnsi="Google Sans"/>
          <w:color w:val="1f1f1f"/>
          <w:rtl w:val="0"/>
        </w:rPr>
        <w:t xml:space="preserve"> If offline, immutable storage protocols are not strictly enforced, adversaries utilizing wiper variants (e.g., DEADWOOD, IOCONTROL) will target enterprise-level storage arrays to simultaneously annihilate both primary SWIFT instances and adjacent backup repositories.</w:t>
      </w:r>
    </w:p>
    <w:p w:rsidR="00000000" w:rsidDel="00000000" w:rsidP="00000000" w:rsidRDefault="00000000" w:rsidRPr="00000000" w14:paraId="0000008F">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Directive Requirement:</w:t>
      </w:r>
      <w:r w:rsidDel="00000000" w:rsidR="00000000" w:rsidRPr="00000000">
        <w:rPr>
          <w:rFonts w:ascii="Google Sans" w:cs="Google Sans" w:eastAsia="Google Sans" w:hAnsi="Google Sans"/>
          <w:color w:val="1f1f1f"/>
          <w:rtl w:val="0"/>
        </w:rPr>
        <w:t xml:space="preserve"> Execute immediate audits of Tier 1 correspondent node backup immutability, focusing strictly on out-of-band management compliance and physical network air-gapping.</w:t>
      </w:r>
    </w:p>
    <w:p w:rsidR="00000000" w:rsidDel="00000000" w:rsidP="00000000" w:rsidRDefault="00000000" w:rsidRPr="00000000" w14:paraId="00000090">
      <w:pPr>
        <w:pStyle w:val="Heading2"/>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Gulf Correspondent Bank BCP/DR Viability</w:t>
      </w:r>
    </w:p>
    <w:p w:rsidR="00000000" w:rsidDel="00000000" w:rsidP="00000000" w:rsidRDefault="00000000" w:rsidRPr="00000000" w14:paraId="00000091">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Intelligence Deficit:</w:t>
      </w:r>
      <w:r w:rsidDel="00000000" w:rsidR="00000000" w:rsidRPr="00000000">
        <w:rPr>
          <w:rFonts w:ascii="Google Sans" w:cs="Google Sans" w:eastAsia="Google Sans" w:hAnsi="Google Sans"/>
          <w:color w:val="1f1f1f"/>
          <w:rtl w:val="0"/>
        </w:rPr>
        <w:t xml:space="preserve"> True operational resilience of primary liquidity hubs (UAE, Saudi Arabia, Bahrain, Qatar) under concurrent physical and cyber bombardment.</w:t>
      </w:r>
    </w:p>
    <w:p w:rsidR="00000000" w:rsidDel="00000000" w:rsidP="00000000" w:rsidRDefault="00000000" w:rsidRPr="00000000" w14:paraId="00000092">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Concentration Risk:</w:t>
      </w:r>
      <w:r w:rsidDel="00000000" w:rsidR="00000000" w:rsidRPr="00000000">
        <w:rPr>
          <w:rFonts w:ascii="Google Sans" w:cs="Google Sans" w:eastAsia="Google Sans" w:hAnsi="Google Sans"/>
          <w:color w:val="1f1f1f"/>
          <w:rtl w:val="0"/>
        </w:rPr>
        <w:t xml:space="preserve"> Historical de-risking has consolidated cross-border payment corridors into fewer regional correspondent nodes. This amplifies single-point-of-failure risk.</w:t>
      </w:r>
    </w:p>
    <w:p w:rsidR="00000000" w:rsidDel="00000000" w:rsidP="00000000" w:rsidRDefault="00000000" w:rsidRPr="00000000" w14:paraId="00000093">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Scenario Failure:</w:t>
      </w:r>
      <w:r w:rsidDel="00000000" w:rsidR="00000000" w:rsidRPr="00000000">
        <w:rPr>
          <w:rFonts w:ascii="Google Sans" w:cs="Google Sans" w:eastAsia="Google Sans" w:hAnsi="Google Sans"/>
          <w:color w:val="1f1f1f"/>
          <w:rtl w:val="0"/>
        </w:rPr>
        <w:t xml:space="preserve"> Standard Disaster Recovery (DR) frameworks address isolated IT disruption. They fail against the current threat baseline: regional telecommunications blackouts (e.g., Iranian 1-4% connectivity reduction) combined with physical destruction of data infrastructure (e.g., AWS UAE strike).</w:t>
      </w:r>
    </w:p>
    <w:p w:rsidR="00000000" w:rsidDel="00000000" w:rsidP="00000000" w:rsidRDefault="00000000" w:rsidRPr="00000000" w14:paraId="00000094">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Directive Requirement:</w:t>
      </w:r>
      <w:r w:rsidDel="00000000" w:rsidR="00000000" w:rsidRPr="00000000">
        <w:rPr>
          <w:rFonts w:ascii="Google Sans" w:cs="Google Sans" w:eastAsia="Google Sans" w:hAnsi="Google Sans"/>
          <w:color w:val="1f1f1f"/>
          <w:rtl w:val="0"/>
        </w:rPr>
        <w:t xml:space="preserve"> Transition from scenario-based DR assessment to function-based Business Continuity Planning (BCP). Mandate stress-test validation of third-party dependencies and alternative routing capabilities for all Gulf-based settlement partners.</w:t>
      </w:r>
    </w:p>
    <w:p w:rsidR="00000000" w:rsidDel="00000000" w:rsidP="00000000" w:rsidRDefault="00000000" w:rsidRPr="00000000" w14:paraId="00000095">
      <w:pPr>
        <w:pStyle w:val="Heading2"/>
        <w:spacing w:after="120" w:before="120" w:line="275.9999942779541" w:lineRule="auto"/>
        <w:rPr>
          <w:rFonts w:ascii="Google Sans" w:cs="Google Sans" w:eastAsia="Google Sans" w:hAnsi="Google Sans"/>
          <w:color w:val="1f1f1f"/>
        </w:rPr>
      </w:pPr>
      <w:bookmarkStart w:colFirst="0" w:colLast="0" w:name="_frw503lkyjw3" w:id="5"/>
      <w:bookmarkEnd w:id="5"/>
      <w:r w:rsidDel="00000000" w:rsidR="00000000" w:rsidRPr="00000000">
        <w:rPr>
          <w:rFonts w:ascii="Google Sans" w:cs="Google Sans" w:eastAsia="Google Sans" w:hAnsi="Google Sans"/>
          <w:color w:val="1f1f1f"/>
          <w:rtl w:val="0"/>
        </w:rPr>
        <w:t xml:space="preserve">7.3 Quantum Decryption Timeline Parameters (HNDL)</w:t>
      </w:r>
    </w:p>
    <w:p w:rsidR="00000000" w:rsidDel="00000000" w:rsidP="00000000" w:rsidRDefault="00000000" w:rsidRPr="00000000" w14:paraId="00000096">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Intelligence Deficit:</w:t>
      </w:r>
      <w:r w:rsidDel="00000000" w:rsidR="00000000" w:rsidRPr="00000000">
        <w:rPr>
          <w:rFonts w:ascii="Google Sans" w:cs="Google Sans" w:eastAsia="Google Sans" w:hAnsi="Google Sans"/>
          <w:color w:val="1f1f1f"/>
          <w:rtl w:val="0"/>
        </w:rPr>
        <w:t xml:space="preserve"> Precise calibration of the adversary decryption horizon (</w:t>
      </w:r>
      <w:r w:rsidDel="00000000" w:rsidR="00000000" w:rsidRPr="00000000">
        <w:rPr>
          <w:rFonts w:ascii="Google Sans" w:cs="Google Sans" w:eastAsia="Google Sans" w:hAnsi="Google Sans"/>
          <w:color w:val="1f1f1f"/>
        </w:rPr>
        <w:drawing>
          <wp:inline distB="19050" distT="19050" distL="19050" distR="19050">
            <wp:extent cx="230684" cy="23068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0684" cy="230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the required data confidentiality lifetime (</w:t>
      </w:r>
      <w:r w:rsidDel="00000000" w:rsidR="00000000" w:rsidRPr="00000000">
        <w:rPr>
          <w:rFonts w:ascii="Google Sans" w:cs="Google Sans" w:eastAsia="Google Sans" w:hAnsi="Google Sans"/>
          <w:color w:val="1f1f1f"/>
        </w:rPr>
        <w:drawing>
          <wp:inline distB="19050" distT="19050" distL="19050" distR="19050">
            <wp:extent cx="201811" cy="23064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1811" cy="230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Timeline Compression:</w:t>
      </w:r>
      <w:r w:rsidDel="00000000" w:rsidR="00000000" w:rsidRPr="00000000">
        <w:rPr>
          <w:rFonts w:ascii="Google Sans" w:cs="Google Sans" w:eastAsia="Google Sans" w:hAnsi="Google Sans"/>
          <w:color w:val="1f1f1f"/>
          <w:rtl w:val="0"/>
        </w:rPr>
        <w:t xml:space="preserve"> Baseline projections for a Cryptographically Relevant Quantum Computer (CRQC) / "Q-Day" center on 2030. Aggressive models, driven by integration with algorithmic de-organization, compress this window to 2028.</w:t>
      </w:r>
    </w:p>
    <w:p w:rsidR="00000000" w:rsidDel="00000000" w:rsidP="00000000" w:rsidRDefault="00000000" w:rsidRPr="00000000" w14:paraId="00000098">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Mathematical Compromise:</w:t>
      </w:r>
      <w:r w:rsidDel="00000000" w:rsidR="00000000" w:rsidRPr="00000000">
        <w:rPr>
          <w:rFonts w:ascii="Google Sans" w:cs="Google Sans" w:eastAsia="Google Sans" w:hAnsi="Google Sans"/>
          <w:color w:val="1f1f1f"/>
          <w:rtl w:val="0"/>
        </w:rPr>
        <w:t xml:space="preserve"> Harvest Now, Decrypt Later (HNDL) converts long-lived ciphertext into a temporal liability. The foundational rule dictates: Compromise occurs if </w:t>
      </w:r>
      <w:r w:rsidDel="00000000" w:rsidR="00000000" w:rsidRPr="00000000">
        <w:rPr>
          <w:rFonts w:ascii="Google Sans" w:cs="Google Sans" w:eastAsia="Google Sans" w:hAnsi="Google Sans"/>
          <w:color w:val="1f1f1f"/>
        </w:rPr>
        <w:drawing>
          <wp:inline distB="19050" distT="19050" distL="19050" distR="19050">
            <wp:extent cx="678359" cy="22930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8359" cy="229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requiring 10-year secrecy intercepted today is breached if </w:t>
      </w:r>
      <w:r w:rsidDel="00000000" w:rsidR="00000000" w:rsidRPr="00000000">
        <w:rPr>
          <w:rFonts w:ascii="Google Sans" w:cs="Google Sans" w:eastAsia="Google Sans" w:hAnsi="Google Sans"/>
          <w:color w:val="1f1f1f"/>
        </w:rPr>
        <w:drawing>
          <wp:inline distB="19050" distT="19050" distL="19050" distR="19050">
            <wp:extent cx="230684" cy="230684"/>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0684" cy="230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reached in 4 years.</w:t>
      </w:r>
    </w:p>
    <w:p w:rsidR="00000000" w:rsidDel="00000000" w:rsidP="00000000" w:rsidRDefault="00000000" w:rsidRPr="00000000" w14:paraId="00000099">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Directive Requirement:</w:t>
      </w:r>
      <w:r w:rsidDel="00000000" w:rsidR="00000000" w:rsidRPr="00000000">
        <w:rPr>
          <w:rFonts w:ascii="Google Sans" w:cs="Google Sans" w:eastAsia="Google Sans" w:hAnsi="Google Sans"/>
          <w:color w:val="1f1f1f"/>
          <w:rtl w:val="0"/>
        </w:rPr>
        <w:t xml:space="preserve"> Quantify total volume of intercepted long-lifecycle traffic. Accelerate Post-Quantum Cryptography (PQC) migration to align with the EU 2026 deployment roadmap mandates.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