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CTI Alert: Escalated Iranian Cyber Activity and Risk to EU/Global Financial Sector Operations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Executive Overview &amp; Timelines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Following the kinetic military strikes within Iranian territory on 28 February 2026, Iranian state-aligned and proxy cyber operations have aggressively escalated.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Domestic internet connectivity in Iran remains severely degraded at 1 to 4 percent of historical baselines. This infrastructure collapse has fractured centralised command, forcing state-aligned Advanced Persistent Threats (APTs) into operational isolation while activating a decentralised, unpredictable network of transnational hacktivists.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On 28 February 2026, a coordinated command hub designated the "Electronic Operations Room" was established to orchestrate mass disruptive campaigns across multiple hacktivist collectives.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European cyber authorities warn of an "almost certain" heightened indirect spillover risk for global organisations, particularly those maintaining operational footprints, data centres, or supply chains in the Middle East.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Quantitative Threat Data (28 February – 02 March 2026)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Within the first 72 hours of the conflict, 149 distinct hacktivist Distributed Denial of Service (DDoS) claims were recorded, targeting 110 unique organisations across 16 countries.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financial sector is currently the second most targeted industry, absorbing 11.9 percent of all recorded attacks globally.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European infrastructure accounted for 22.8 percent of the total targeted global activity during the initial surge.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Specific Threats to the Financial Sector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Volumetric Disruption:</w:t>
      </w:r>
      <w:r w:rsidDel="00000000" w:rsidR="00000000" w:rsidRPr="00000000">
        <w:rPr>
          <w:color w:val="1f1f1f"/>
          <w:rtl w:val="0"/>
        </w:rPr>
        <w:t xml:space="preserve"> There is a high probability of sustained, high-volume DDoS attacks directed at banking infrastructure, financial portals, and payment gateways. These operations are designed to compound real-world economic impacts and generate public panic.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Ransomware Convergence (BQTLock):</w:t>
      </w:r>
      <w:r w:rsidDel="00000000" w:rsidR="00000000" w:rsidRPr="00000000">
        <w:rPr>
          <w:color w:val="1f1f1f"/>
          <w:rtl w:val="0"/>
        </w:rPr>
        <w:t xml:space="preserve"> The BQTLock (Baqiyat 313 Locker) Ransomware-as-a-Service (RaaS) operation is currently offering free access to hacktivists willing to target Western entities. This ransomware explicitly targets the banking and fintech sectors in Europe and the US, employing a strict double-extortion model with escalating ransom deadlines.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State-Sponsored Espionage (Seedworm / MuddyWater):</w:t>
      </w:r>
      <w:r w:rsidDel="00000000" w:rsidR="00000000" w:rsidRPr="00000000">
        <w:rPr>
          <w:color w:val="1f1f1f"/>
          <w:rtl w:val="0"/>
        </w:rPr>
        <w:t xml:space="preserve"> This Ministry of Intelligence and Security (MOIS) affiliated group successfully compromised a US bank in early February 2026. The group is deploying a highly evasive, previously undocumented backdoor named "Dindoor". Dindoor executes within the Deno runtime environment, allowing it to bypass many legacy endpoint detection mechanisms.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Tactical Intelligence &amp; Exploitation Vectors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Vulnerability Exploitation:</w:t>
      </w:r>
      <w:r w:rsidDel="00000000" w:rsidR="00000000" w:rsidRPr="00000000">
        <w:rPr>
          <w:color w:val="1f1f1f"/>
          <w:rtl w:val="0"/>
        </w:rPr>
        <w:t xml:space="preserve"> Affiliate groups are actively exploiting known vulnerabilities for initial access. A critical focal point is CVE-2025-55182 ("React2Shell"), which allows for unauthenticated remote code execution to rapidly deploy payloads such as BQTLock.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Evasion:</w:t>
      </w:r>
      <w:r w:rsidDel="00000000" w:rsidR="00000000" w:rsidRPr="00000000">
        <w:rPr>
          <w:color w:val="1f1f1f"/>
          <w:rtl w:val="0"/>
        </w:rPr>
        <w:t xml:space="preserve"> To circumvent domestic internet blackouts, Iranian APTs are routing command-and-control traffic through commercial satellite IP ranges (e.g., Starlink) and purchasing pre-established corporate network access directly from Russian Initial Access Brokers (IABs) on underground forums.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Access:</w:t>
      </w:r>
      <w:r w:rsidDel="00000000" w:rsidR="00000000" w:rsidRPr="00000000">
        <w:rPr>
          <w:color w:val="1f1f1f"/>
          <w:rtl w:val="0"/>
        </w:rPr>
        <w:t xml:space="preserve"> State-aligned groups continue to rely heavily on tailored spear-phishing campaigns distributing malicious Microsoft Excel macros (such as those seen in "Operation Olalampo") and the exploitation of unpatched, internet-facing edge appliances and VPN gateways.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