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36"/>
          <w:szCs w:val="36"/>
          <w:rtl w:val="0"/>
        </w:rPr>
        <w:t xml:space="preserve">Iranian State-Aligned and Proxy Cyber Activity Following February 2026 Middle East Escalation</w:t>
      </w: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the execution of coordinated kinetic strikes designated Operation Epic Fury (US) and Operation Roaring Lion (Israel) in late February 2026, the geopolitical landscape fundamentally shifted. These strikes integrated highly sophisticated cyber and space operations that successfully blinded Iranian sensor networks and hampered unified defensive responses, catalyzing an immediate and severe digital escalation. The public nature of these Western cyber operations has signaled a normalization of cyber effects as standard, overt military tools, which adversary actors are now using to legally and doctrinally justify proportional, asymmetric retaliation.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domestic Iranian internet connectivity was reduced to 1-4% of baseline capacity. Intelligence assessments indicate this near-total blackout is largely a deliberate, self-imposed defensive mechanism designed to insulate surviving critical systems from follow-on external cyber offensives and to ruthlessly suppress domestic unrest. This severe infrastructural degradation has fractured the highly centralized, bureaucratic command and control (C2) structures of the Ministry of Intelligence and Security (MOIS) and the Islamic Revolutionary Guard Corps (IRGC). This fracture has forced elite Iranian Advanced Persistent Threats (APTs) into operational isolation and tactical autonomy. Deprived of strategic oversight, offensive cyber doctrine has abruptly shifted from long-term, stealthy strategic espionage to opportunistic, highly visible, and destructive asymmetric warfare that heavily leverages latent footholds established in Western networks prior to the escalation.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SHIFTS &amp; INFRASTRUCTURE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C2 Evasion and Satellite Routing:</w:t>
      </w:r>
      <w:r w:rsidDel="00000000" w:rsidR="00000000" w:rsidRPr="00000000">
        <w:rPr>
          <w:rFonts w:ascii="Google Sans" w:cs="Google Sans" w:eastAsia="Google Sans" w:hAnsi="Google Sans"/>
          <w:color w:val="1f1f1f"/>
          <w:rtl w:val="0"/>
        </w:rPr>
        <w:t xml:space="preserve"> To circumvent the state-controlled telecommunications blackout, elite Iranian APTs (e.g., Handala Hack Team) proactively routed their C2 traffic through commercial Starlink satellite IP ranges as early as mid-January 2026. This evasion tactic allows them to bypass the domestic telecommunications monopoly and maintain a persistent, uninterrupted global presence despite catastrophic internal outages.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Outsourced Initial Access:</w:t>
      </w:r>
      <w:r w:rsidDel="00000000" w:rsidR="00000000" w:rsidRPr="00000000">
        <w:rPr>
          <w:rFonts w:ascii="Google Sans" w:cs="Google Sans" w:eastAsia="Google Sans" w:hAnsi="Google Sans"/>
          <w:color w:val="1f1f1f"/>
          <w:rtl w:val="0"/>
        </w:rPr>
        <w:t xml:space="preserve"> The resource-intensive reconnaissance and initial exploitation phases of the standard cyber kill chain have been severely hampered by bandwidth limitations. To rapidly re-establish operational tempo and strike high-value Western targets, Iranian state-aligned actors are actively purchasing pre-established network access (such as compromised VPN credentials and exploited edge appliances) from Russian Initial Access Brokers (IABs) on elite cybercriminal forums like XSS and Exploit. This symbiotic transactional ecosystem effectively outsources the initial breach, blending state-level destructive intent with elite cybercriminal capabilities.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Ransomware as Destructionware:</w:t>
      </w:r>
      <w:r w:rsidDel="00000000" w:rsidR="00000000" w:rsidRPr="00000000">
        <w:rPr>
          <w:rFonts w:ascii="Google Sans" w:cs="Google Sans" w:eastAsia="Google Sans" w:hAnsi="Google Sans"/>
          <w:color w:val="1f1f1f"/>
          <w:rtl w:val="0"/>
        </w:rPr>
        <w:t xml:space="preserve"> Operators initially deployed the Sicarii Ransomware-as-a-Service (RaaS) platform to inflict maximum economic pain. However, deep technical analysis revealed a fundamental structural defect: Sicarii systematically discarded its own encryption keys immediately after locking files, rendering decryption mathematically impossible and functioning purely as an irreversible destructive wiper. Following an inability to support the massive influx of affiliate volume, the Sicarii administrator ("Uke") publicly redirected affiliates to BQTLock (Baqiyat 313 Locker). Managed by pro-Palestinian actors under the broader Resistance umbrella, BQTLock is offered as a free RaaS, severely lowering the barrier to entry and commodifying enterprise-level destructive malware for unsophisticated, politically motivated actors.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HACKTIVIST COORDINATION &amp; TARGETING METRICS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infrastructural challenges within Iran have inadvertently empowered a decentralized network of transnational proxy forces. A consolidated "Electronic Operations Room," coordinated primarily by the Iraqi-aligned Cyber Islamic Resistance (Team 313), has integrated over 70 previously disparate proxy groups, including DieNet, FAD Team, and the pro-Russian NoName057(16). While intelligence indicates a disparity between claimed operational volume and actual systemic destruction, their primary objective remains the sustained disruption of digital normalcy and the infliction of severe reputational damage.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Recorded Activity (Feb 28 - Mar 2, 2026):</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Volume:</w:t>
      </w:r>
      <w:r w:rsidDel="00000000" w:rsidR="00000000" w:rsidRPr="00000000">
        <w:rPr>
          <w:rFonts w:ascii="Google Sans" w:cs="Google Sans" w:eastAsia="Google Sans" w:hAnsi="Google Sans"/>
          <w:color w:val="1f1f1f"/>
          <w:rtl w:val="0"/>
        </w:rPr>
        <w:t xml:space="preserve"> 149 distinct, verified DDoS and disruption claims targeting 110 unique organizations across 16 countries.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Geographic Distribution:</w:t>
      </w:r>
      <w:r w:rsidDel="00000000" w:rsidR="00000000" w:rsidRPr="00000000">
        <w:rPr>
          <w:rFonts w:ascii="Google Sans" w:cs="Google Sans" w:eastAsia="Google Sans" w:hAnsi="Google Sans"/>
          <w:color w:val="1f1f1f"/>
          <w:rtl w:val="0"/>
        </w:rPr>
        <w:t xml:space="preserve"> Activity is heavily concentrated in the Middle East to penalize US/Israeli allies, with Kuwait (28%), Israel (27.1%), and Jordan (21.5%) bearing the brunt. </w:t>
      </w:r>
      <w:r w:rsidDel="00000000" w:rsidR="00000000" w:rsidRPr="00000000">
        <w:rPr>
          <w:rFonts w:ascii="Google Sans" w:cs="Google Sans" w:eastAsia="Google Sans" w:hAnsi="Google Sans"/>
          <w:b w:val="1"/>
          <w:bCs w:val="1"/>
          <w:color w:val="1f1f1f"/>
          <w:rtl w:val="0"/>
        </w:rPr>
        <w:t xml:space="preserve">Crucially, European infrastructure absorbed nearly 23% of global activity, underscoring significant spillover risk.</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Sector Distribution:</w:t>
      </w:r>
      <w:r w:rsidDel="00000000" w:rsidR="00000000" w:rsidRPr="00000000">
        <w:rPr>
          <w:rFonts w:ascii="Google Sans" w:cs="Google Sans" w:eastAsia="Google Sans" w:hAnsi="Google Sans"/>
          <w:color w:val="1f1f1f"/>
          <w:rtl w:val="0"/>
        </w:rPr>
        <w:t xml:space="preserve"> Government symbols of state power (47.8%), </w:t>
      </w:r>
      <w:r w:rsidDel="00000000" w:rsidR="00000000" w:rsidRPr="00000000">
        <w:rPr>
          <w:rFonts w:ascii="Google Sans" w:cs="Google Sans" w:eastAsia="Google Sans" w:hAnsi="Google Sans"/>
          <w:b w:val="1"/>
          <w:bCs w:val="1"/>
          <w:color w:val="1f1f1f"/>
          <w:rtl w:val="0"/>
        </w:rPr>
        <w:t xml:space="preserve">Financial Sector (11.9%)</w:t>
      </w:r>
      <w:r w:rsidDel="00000000" w:rsidR="00000000" w:rsidRPr="00000000">
        <w:rPr>
          <w:rFonts w:ascii="Google Sans" w:cs="Google Sans" w:eastAsia="Google Sans" w:hAnsi="Google Sans"/>
          <w:color w:val="1f1f1f"/>
          <w:rtl w:val="0"/>
        </w:rPr>
        <w:t xml:space="preserve">, Telecommunications (6.7%). Targets included entities such as the Bank of Jordan, UAE Airports, and internal systems of the Saudi Ministry of Home Affairs.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STATE-SPONSORED (APT) ACTIVITY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internal infrastructural challenges, top-tier APTs continue to execute highly sophisticated, pre-staged campaigns.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Seedworm (MuddyWater / MOIS):</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Shifting focus toward US banks, North American NGOs, and defense software suppliers, indicating a calculated strategy to leverage supply chain vulnerabilities to penetrate highly secured Western defense networks.</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Executing "Operation Olalampo" in the META region via highly tailored phishing containing malicious Excel macros. The first-stage downloader, GhostFetch, actively profiles the system, validates mouse movements, and checks screen resolutions to aggressively evade virtual machines and sandboxes before deploying payloads directly into memory. They also utilize HTTP_VIP to deploy AnyDesk for persistent graphical access.</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Advanced Tooling:</w:t>
      </w:r>
      <w:r w:rsidDel="00000000" w:rsidR="00000000" w:rsidRPr="00000000">
        <w:rPr>
          <w:rFonts w:ascii="Google Sans" w:cs="Google Sans" w:eastAsia="Google Sans" w:hAnsi="Google Sans"/>
          <w:color w:val="1f1f1f"/>
          <w:rtl w:val="0"/>
        </w:rPr>
        <w:t xml:space="preserve"> Demonstrating a strategic shift to memory-safe languages to hinder forensic reverse engineering, utilizing the Rust-based backdoor GhostBackDoor CHAR.</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Novel Malware:</w:t>
      </w:r>
      <w:r w:rsidDel="00000000" w:rsidR="00000000" w:rsidRPr="00000000">
        <w:rPr>
          <w:rFonts w:ascii="Google Sans" w:cs="Google Sans" w:eastAsia="Google Sans" w:hAnsi="Google Sans"/>
          <w:color w:val="1f1f1f"/>
          <w:rtl w:val="0"/>
        </w:rPr>
        <w:t xml:space="preserve"> Deployed Dindoor, a highly evasive backdoor executing within the secure JavaScript/TypeScript Deno runtime environment to completely bypass legacy EDR behavioral signatures that do not monitor Deno execution. They also deployed Fakeset, a Python backdoor utilizing legitimate cloud infrastructure (Backblaze B2, Wasabi) for payload delivery and data exfiltration via the open-source tool Rclone. Both utilize forged digital certificates (e.g., "Amy Cherne", "Donald Gay") to establish false legitimacy on Windows OS.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Void Manticore (Handala Hack Team / MOIS):</w:t>
      </w:r>
      <w:r w:rsidDel="00000000" w:rsidR="00000000" w:rsidRPr="00000000">
        <w:rPr>
          <w:rFonts w:ascii="Google Sans" w:cs="Google Sans" w:eastAsia="Google Sans" w:hAnsi="Google Sans"/>
          <w:color w:val="1f1f1f"/>
          <w:rtl w:val="0"/>
        </w:rPr>
        <w:t xml:space="preserve"> Operates as a highly aggressive public persona focusing on rapid opportunistic compromises via IT service providers. They utilize "hack-and-leak" operations for severe psychological warfare. Intelligence suggests MOIS APTs are specifically harvesting population-scale data sets from compromised medical systems and ISPs to physically locate and target regime dissidents globally.</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CyberAv3ngers (IRGC-CEC):</w:t>
      </w:r>
      <w:r w:rsidDel="00000000" w:rsidR="00000000" w:rsidRPr="00000000">
        <w:rPr>
          <w:rFonts w:ascii="Google Sans" w:cs="Google Sans" w:eastAsia="Google Sans" w:hAnsi="Google Sans"/>
          <w:color w:val="1f1f1f"/>
          <w:rtl w:val="0"/>
        </w:rPr>
        <w:t xml:space="preserve"> Poses a critical life-safety risk by targeting industrial control systems (ICS) and operational technology (OT) in the water/wastewater, fuel management, and energy sectors. They explicitly target legacy OT environments—which inherently lack modern endpoint detection capabilities—by exploiting default or hardcoded credentials in internet-accessible programmable logic controllers (PLCs) manufactured by Unitronics, D-Link, and Hikvision using custom Linux-based malware (IOCONTROL).</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Cotton Sandstorm (IRGC):</w:t>
      </w:r>
      <w:r w:rsidDel="00000000" w:rsidR="00000000" w:rsidRPr="00000000">
        <w:rPr>
          <w:rFonts w:ascii="Google Sans" w:cs="Google Sans" w:eastAsia="Google Sans" w:hAnsi="Google Sans"/>
          <w:color w:val="1f1f1f"/>
          <w:rtl w:val="0"/>
        </w:rPr>
        <w:t xml:space="preserve"> Functions as a "fast-reaction" unit blending destructive cyber activity with highly visible information operations. They deploy the custom modular infostealer WezRat via spear-phishing (mimicking Google Chrome updates), followed by WhiteLock ransomware to obfuscate data theft and induce complete operational paralysis.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EXPLOITED VULNERABILITIES, TTPs &amp; INFORMATION WARFARE</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CVE-2025-55182 ("React2Shell"):</w:t>
      </w:r>
      <w:r w:rsidDel="00000000" w:rsidR="00000000" w:rsidRPr="00000000">
        <w:rPr>
          <w:rFonts w:ascii="Google Sans" w:cs="Google Sans" w:eastAsia="Google Sans" w:hAnsi="Google Sans"/>
          <w:color w:val="1f1f1f"/>
          <w:rtl w:val="0"/>
        </w:rPr>
        <w:t xml:space="preserve"> A critical, unauthenticated remote code execution (RCE) vulnerability affecting React Server Components and the RSC Flight protocol. This is actively and reliably exploited by BQTLock affiliates to compromise modern web infrastructure, entirely bypassing traditional perimeter defenses prior to ransomware deployment.</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Weaponization of Fear (RedAlert):</w:t>
      </w:r>
      <w:r w:rsidDel="00000000" w:rsidR="00000000" w:rsidRPr="00000000">
        <w:rPr>
          <w:rFonts w:ascii="Google Sans" w:cs="Google Sans" w:eastAsia="Google Sans" w:hAnsi="Google Sans"/>
          <w:color w:val="1f1f1f"/>
          <w:rtl w:val="0"/>
        </w:rPr>
        <w:t xml:space="preserve"> Highlighting a profound weaponization of public fear, Iranian IO units deployed a highly sophisticated Android APK perfectly replicating the Israeli Home Front Command's official missile warning application. Distributed via targeted, Hebrew-language SMS phishing during active kinetic bombardments, it preyed on civilian hyper-vigilance to successfully deploy a comprehensive mobile surveillance engine capable of exfiltrating contacts, location data, and SMS communications.</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Application Compromise &amp; AI Amplification:</w:t>
      </w:r>
      <w:r w:rsidDel="00000000" w:rsidR="00000000" w:rsidRPr="00000000">
        <w:rPr>
          <w:rFonts w:ascii="Google Sans" w:cs="Google Sans" w:eastAsia="Google Sans" w:hAnsi="Google Sans"/>
          <w:color w:val="1f1f1f"/>
          <w:rtl w:val="0"/>
        </w:rPr>
        <w:t xml:space="preserve"> State actors compromised legitimate, high-traffic applications (e.g., the religious calendar app BadeSaba, with over 5 million downloads) and internal systems of state news agencies (IRNA) to broadcast state propaganda directly to users. Furthermore, actors like Cotton Sandstorm are utilizing Artificial Intelligence to generate synthetic audio and video deepfakes designed to fracture the US-Israel coalition, amplify imagery of kinetic destruction, and project military supremacy within the current digital information vacuum.</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EXPOSURE INDICATORS (EU / GLOBAL FINANCE)</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Proxy Integration &amp; Supply Chain Spillover:</w:t>
      </w:r>
      <w:r w:rsidDel="00000000" w:rsidR="00000000" w:rsidRPr="00000000">
        <w:rPr>
          <w:rFonts w:ascii="Google Sans" w:cs="Google Sans" w:eastAsia="Google Sans" w:hAnsi="Google Sans"/>
          <w:color w:val="1f1f1f"/>
          <w:rtl w:val="0"/>
        </w:rPr>
        <w:t xml:space="preserve"> The UK's National Cyber Security Centre (NCSC) explicitly warns of an "almost certain" heightened risk of indirect compromise for critical national infrastructure (CNI) providers and multinational organizations with operational footprints, data centers, or IT service providers in the Middle East. Historic precedents (e.g., the 2012 Shamoon wiper attack) demonstrate the regime's capability and willingness to inflict catastrophic economic damage on foreign corporate entities. Notably, Hezbollah's "Lebanese Cedar" APT—acting as a proxy for the MOIS—has successfully infiltrated telecommunications and government servers across the UK, UAE, and Saudi Arabia.</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Cloud &amp; Logistics Disruption:</w:t>
      </w:r>
      <w:r w:rsidDel="00000000" w:rsidR="00000000" w:rsidRPr="00000000">
        <w:rPr>
          <w:rFonts w:ascii="Google Sans" w:cs="Google Sans" w:eastAsia="Google Sans" w:hAnsi="Google Sans"/>
          <w:color w:val="1f1f1f"/>
          <w:rtl w:val="0"/>
        </w:rPr>
        <w:t xml:space="preserve"> Retaliatory actions have successfully targeted physical and digital infrastructure in allied GCC states. This includes attacks on Amazon Web Services (AWS) data centers in the UAE and Bahrain (causing cascading cloud service outages for regional security providers) and systemic electronic warfare disrupting GPS/AIS for over 1,100 maritime vessels in the Strait of Hormuz, severely impacting global shipping logistics and energy markets.</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Volumetric Attacks &amp; Russian Symbiosis:</w:t>
      </w:r>
      <w:r w:rsidDel="00000000" w:rsidR="00000000" w:rsidRPr="00000000">
        <w:rPr>
          <w:rFonts w:ascii="Google Sans" w:cs="Google Sans" w:eastAsia="Google Sans" w:hAnsi="Google Sans"/>
          <w:color w:val="1f1f1f"/>
          <w:rtl w:val="0"/>
        </w:rPr>
        <w:t xml:space="preserve"> There is an elevated risk of severe, sustained DDoS campaigns targeting edge appliances and public-facing infrastructure. The formal alliance and integration of Russian botnet infrastructure (such as the HydraC2 botnet) with Iranian proxy networks artificially and significantly inflates the destructive capability of these actors.</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Strategic Partnerships &amp; Sanction Evasion (DPRK):</w:t>
      </w:r>
      <w:r w:rsidDel="00000000" w:rsidR="00000000" w:rsidRPr="00000000">
        <w:rPr>
          <w:rFonts w:ascii="Google Sans" w:cs="Google Sans" w:eastAsia="Google Sans" w:hAnsi="Google Sans"/>
          <w:color w:val="1f1f1f"/>
          <w:rtl w:val="0"/>
        </w:rPr>
        <w:t xml:space="preserve"> The geopolitical alignment of the Democratic People's Republic of Korea (DPRK) with Iran poses severe, compounding risks. Intelligence indicates shared operational infrastructure between North Korea's Lazarus Group (possessing top-tier financial cybercrime capabilities) and the shadow banking systems utilized by the IRGC and Hezbollah. This nexus heavily elevates risks to global anti-money laundering (AML) supervision, the global financial sector, and the highly strained semiconductor supply chain.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