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Core Subject: Adverse News Screening Framework</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Regulatory &amp; Legal Enforcement</w:t>
      </w:r>
    </w:p>
    <w:p w:rsidR="00000000" w:rsidDel="00000000" w:rsidP="00000000" w:rsidRDefault="00000000" w:rsidRPr="00000000" w14:paraId="0000000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Government Action (Fines, settlements, or lawsuits):</w:t>
      </w:r>
      <w:r w:rsidDel="00000000" w:rsidR="00000000" w:rsidRPr="00000000">
        <w:rPr>
          <w:color w:val="1f1f1f"/>
          <w:rtl w:val="0"/>
        </w:rPr>
        <w:t xml:space="preserve"> None found directly against Bridge Ventures LLC or Bridge Building Inc.</w:t>
      </w:r>
    </w:p>
    <w:p w:rsidR="00000000" w:rsidDel="00000000" w:rsidP="00000000" w:rsidRDefault="00000000" w:rsidRPr="00000000" w14:paraId="0000000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Note on False Positives:</w:t>
      </w:r>
      <w:r w:rsidDel="00000000" w:rsidR="00000000" w:rsidRPr="00000000">
        <w:rPr>
          <w:color w:val="1f1f1f"/>
          <w:rtl w:val="0"/>
        </w:rPr>
        <w:t xml:space="preserve"> Searches for "Bridge Ventures" return a major April 2024 SEC civil enforcement lawsuit against "Tri-Bridge Ventures, LLC" for acting as an unregistered securities dealer (Case No. 3:24-cv-05711). </w:t>
      </w:r>
      <w:r w:rsidDel="00000000" w:rsidR="00000000" w:rsidRPr="00000000">
        <w:rPr>
          <w:b w:val="1"/>
          <w:bCs w:val="1"/>
          <w:color w:val="1f1f1f"/>
          <w:rtl w:val="0"/>
        </w:rPr>
        <w:t xml:space="preserve">This is a false positive and has no relation to the stablecoin company.</w:t>
      </w:r>
    </w:p>
    <w:p w:rsidR="00000000" w:rsidDel="00000000" w:rsidP="00000000" w:rsidRDefault="00000000" w:rsidRPr="00000000" w14:paraId="00000005">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Sources:</w:t>
      </w:r>
      <w:hyperlink r:id="rId6">
        <w:r w:rsidDel="00000000" w:rsidR="00000000" w:rsidRPr="00000000">
          <w:rPr>
            <w:color w:val="1f1f1f"/>
            <w:rtl w:val="0"/>
          </w:rPr>
          <w:t xml:space="preserve"> </w:t>
        </w:r>
      </w:hyperlink>
      <w:hyperlink r:id="rId7">
        <w:r w:rsidDel="00000000" w:rsidR="00000000" w:rsidRPr="00000000">
          <w:rPr>
            <w:color w:val="0b57d0"/>
            <w:u w:val="single"/>
            <w:rtl w:val="0"/>
          </w:rPr>
          <w:t xml:space="preserve">https://www.sec.gov/enforcement-litigation/litigation-releases/lr-25987</w:t>
        </w:r>
      </w:hyperlink>
      <w:r w:rsidDel="00000000" w:rsidR="00000000" w:rsidRPr="00000000">
        <w:rPr>
          <w:color w:val="1f1f1f"/>
          <w:rtl w:val="0"/>
        </w:rPr>
        <w:t xml:space="preserve"> ,</w:t>
      </w:r>
      <w:hyperlink r:id="rId8">
        <w:r w:rsidDel="00000000" w:rsidR="00000000" w:rsidRPr="00000000">
          <w:rPr>
            <w:color w:val="1f1f1f"/>
            <w:rtl w:val="0"/>
          </w:rPr>
          <w:t xml:space="preserve"> </w:t>
        </w:r>
      </w:hyperlink>
      <w:hyperlink r:id="rId9">
        <w:r w:rsidDel="00000000" w:rsidR="00000000" w:rsidRPr="00000000">
          <w:rPr>
            <w:color w:val="0b57d0"/>
            <w:u w:val="single"/>
            <w:rtl w:val="0"/>
          </w:rPr>
          <w:t xml:space="preserve">https://www.sec.gov/enforcement-litigation/litigation-releases/lr-26310</w:t>
        </w:r>
      </w:hyperlink>
      <w:r w:rsidDel="00000000" w:rsidR="00000000" w:rsidRPr="00000000">
        <w:rPr>
          <w:rtl w:val="0"/>
        </w:rPr>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Licensing Status (Denials, suspensions, or withdrawals):</w:t>
      </w:r>
      <w:r w:rsidDel="00000000" w:rsidR="00000000" w:rsidRPr="00000000">
        <w:rPr>
          <w:color w:val="1f1f1f"/>
          <w:rtl w:val="0"/>
        </w:rPr>
        <w:t xml:space="preserve"> No negative actions found. Bridge operates with active state money transmitter licenses (e.g., NMLS #2450917) and successfully obtained conditional preliminary approval for a National Trust Bank charter from the OCC in February 2026.</w:t>
      </w:r>
    </w:p>
    <w:p w:rsidR="00000000" w:rsidDel="00000000" w:rsidP="00000000" w:rsidRDefault="00000000" w:rsidRPr="00000000" w14:paraId="0000000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Sources:</w:t>
      </w:r>
      <w:hyperlink r:id="rId10">
        <w:r w:rsidDel="00000000" w:rsidR="00000000" w:rsidRPr="00000000">
          <w:rPr>
            <w:color w:val="1f1f1f"/>
            <w:rtl w:val="0"/>
          </w:rPr>
          <w:t xml:space="preserve"> </w:t>
        </w:r>
      </w:hyperlink>
      <w:hyperlink r:id="rId11">
        <w:r w:rsidDel="00000000" w:rsidR="00000000" w:rsidRPr="00000000">
          <w:rPr>
            <w:color w:val="0b57d0"/>
            <w:u w:val="single"/>
            <w:rtl w:val="0"/>
          </w:rPr>
          <w:t xml:space="preserve">https://www.bridge.xyz/legal/bridge-stablecoin-terms/bridge-building-inc</w:t>
        </w:r>
      </w:hyperlink>
      <w:r w:rsidDel="00000000" w:rsidR="00000000" w:rsidRPr="00000000">
        <w:rPr>
          <w:color w:val="1f1f1f"/>
          <w:rtl w:val="0"/>
        </w:rPr>
        <w:t xml:space="preserve"> ,</w:t>
      </w:r>
      <w:hyperlink r:id="rId12">
        <w:r w:rsidDel="00000000" w:rsidR="00000000" w:rsidRPr="00000000">
          <w:rPr>
            <w:color w:val="1f1f1f"/>
            <w:rtl w:val="0"/>
          </w:rPr>
          <w:t xml:space="preserve"> </w:t>
        </w:r>
      </w:hyperlink>
      <w:hyperlink r:id="rId13">
        <w:r w:rsidDel="00000000" w:rsidR="00000000" w:rsidRPr="00000000">
          <w:rPr>
            <w:color w:val="0b57d0"/>
            <w:u w:val="single"/>
            <w:rtl w:val="0"/>
          </w:rPr>
          <w:t xml:space="preserve">https://business.cch.com/BFLD/OCC-Corporate-Decision-No-1365-02122026.pdf</w:t>
        </w:r>
      </w:hyperlink>
      <w:r w:rsidDel="00000000" w:rsidR="00000000" w:rsidRPr="00000000">
        <w:rPr>
          <w:rtl w:val="0"/>
        </w:rPr>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Litigation (Class-action lawsuits, IP disputes, breach of contract):</w:t>
      </w:r>
      <w:r w:rsidDel="00000000" w:rsidR="00000000" w:rsidRPr="00000000">
        <w:rPr>
          <w:color w:val="1f1f1f"/>
          <w:rtl w:val="0"/>
        </w:rPr>
        <w:t xml:space="preserve"> Bridge itself is not currently facing direct litigation. However, it suffers from severe "liability contagion" via its parent company, Stripe. Advocacy groups like the National Community Reinvestment Coalition (NCRC) have formally opposed Bridge's OCC charter application by citing active, major federal wiretapping and data privacy class-action lawsuits against Stripe (</w:t>
      </w:r>
      <w:r w:rsidDel="00000000" w:rsidR="00000000" w:rsidRPr="00000000">
        <w:rPr>
          <w:i w:val="1"/>
          <w:iCs w:val="1"/>
          <w:color w:val="1f1f1f"/>
          <w:rtl w:val="0"/>
        </w:rPr>
        <w:t xml:space="preserve">Silver v. Stripe, Inc.</w:t>
      </w:r>
      <w:r w:rsidDel="00000000" w:rsidR="00000000" w:rsidRPr="00000000">
        <w:rPr>
          <w:color w:val="1f1f1f"/>
          <w:rtl w:val="0"/>
        </w:rPr>
        <w:t xml:space="preserve"> and </w:t>
      </w:r>
      <w:r w:rsidDel="00000000" w:rsidR="00000000" w:rsidRPr="00000000">
        <w:rPr>
          <w:i w:val="1"/>
          <w:iCs w:val="1"/>
          <w:color w:val="1f1f1f"/>
          <w:rtl w:val="0"/>
        </w:rPr>
        <w:t xml:space="preserve">Lockhart v. Crumbl, LLC</w:t>
      </w:r>
      <w:r w:rsidDel="00000000" w:rsidR="00000000" w:rsidRPr="00000000">
        <w:rPr>
          <w:color w:val="1f1f1f"/>
          <w:rtl w:val="0"/>
        </w:rPr>
        <w:t xml:space="preserve">) regarding the illicit capture of consumer data.</w:t>
      </w:r>
    </w:p>
    <w:p w:rsidR="00000000" w:rsidDel="00000000" w:rsidP="00000000" w:rsidRDefault="00000000" w:rsidRPr="00000000" w14:paraId="00000009">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Sources:</w:t>
      </w:r>
      <w:hyperlink r:id="rId14">
        <w:r w:rsidDel="00000000" w:rsidR="00000000" w:rsidRPr="00000000">
          <w:rPr>
            <w:color w:val="1f1f1f"/>
            <w:rtl w:val="0"/>
          </w:rPr>
          <w:t xml:space="preserve"> </w:t>
        </w:r>
      </w:hyperlink>
      <w:hyperlink r:id="rId15">
        <w:r w:rsidDel="00000000" w:rsidR="00000000" w:rsidRPr="00000000">
          <w:rPr>
            <w:color w:val="0b57d0"/>
            <w:u w:val="single"/>
            <w:rtl w:val="0"/>
          </w:rPr>
          <w:t xml:space="preserve">https://ncrc.org/ncrc-comment-in-opposition-to-stripe-incs-national-trust-charter-application/</w:t>
        </w:r>
      </w:hyperlink>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Financial Crime &amp; Integrity</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AML/KYC Failures (Sanctioned entities, terrorist financing):</w:t>
      </w:r>
      <w:r w:rsidDel="00000000" w:rsidR="00000000" w:rsidRPr="00000000">
        <w:rPr>
          <w:color w:val="1f1f1f"/>
          <w:rtl w:val="0"/>
        </w:rPr>
        <w:t xml:space="preserve"> This is Bridge's highest current risk vector. In early 2026, Bridge was subjected to severe media and regulatory scrutiny regarding a Venezuelan-focused client app named "Kontigo." Bridge issued virtual U.S. and European accounts for Kontigo, whose platform was allegedly used to route sanctioned Venezuelan oil export revenues into stablecoins. To immediately mitigate U.S. Office of Foreign Assets Control (OFAC) risks, Bridge completely severed ties with Kontigo and banned all users/transactions from Venezuela, Afghanistan, Belarus, Sudan, and Yemen.</w:t>
      </w:r>
    </w:p>
    <w:p w:rsidR="00000000" w:rsidDel="00000000" w:rsidP="00000000" w:rsidRDefault="00000000" w:rsidRPr="00000000" w14:paraId="0000000C">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Sources:</w:t>
      </w:r>
      <w:hyperlink r:id="rId16">
        <w:r w:rsidDel="00000000" w:rsidR="00000000" w:rsidRPr="00000000">
          <w:rPr>
            <w:color w:val="1f1f1f"/>
            <w:rtl w:val="0"/>
          </w:rPr>
          <w:t xml:space="preserve"> </w:t>
        </w:r>
      </w:hyperlink>
      <w:hyperlink r:id="rId17">
        <w:r w:rsidDel="00000000" w:rsidR="00000000" w:rsidRPr="00000000">
          <w:rPr>
            <w:color w:val="0b57d0"/>
            <w:u w:val="single"/>
            <w:rtl w:val="0"/>
          </w:rPr>
          <w:t xml:space="preserve">https://www.pymnts.com/cryptocurrency/2026/stripes-stablecoin-expansion-faces-sanctions-scrutiny/</w:t>
        </w:r>
      </w:hyperlink>
      <w:r w:rsidDel="00000000" w:rsidR="00000000" w:rsidRPr="00000000">
        <w:rPr>
          <w:color w:val="1f1f1f"/>
          <w:rtl w:val="0"/>
        </w:rPr>
        <w:t xml:space="preserve"> ,</w:t>
      </w:r>
      <w:hyperlink r:id="rId18">
        <w:r w:rsidDel="00000000" w:rsidR="00000000" w:rsidRPr="00000000">
          <w:rPr>
            <w:color w:val="1f1f1f"/>
            <w:rtl w:val="0"/>
          </w:rPr>
          <w:t xml:space="preserve"> </w:t>
        </w:r>
      </w:hyperlink>
      <w:hyperlink r:id="rId19">
        <w:r w:rsidDel="00000000" w:rsidR="00000000" w:rsidRPr="00000000">
          <w:rPr>
            <w:color w:val="0b57d0"/>
            <w:u w:val="single"/>
            <w:rtl w:val="0"/>
          </w:rPr>
          <w:t xml:space="preserve">https://raw.githubusercontent.com/businesslinkmedia/publications/main/BusinessLink/2026/BL-2026-02-February.pdf</w:t>
        </w:r>
      </w:hyperlink>
      <w:r w:rsidDel="00000000" w:rsidR="00000000" w:rsidRPr="00000000">
        <w:rPr>
          <w:rtl w:val="0"/>
        </w:rPr>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Fraud (Commingling funds, market manipulation):</w:t>
      </w:r>
      <w:r w:rsidDel="00000000" w:rsidR="00000000" w:rsidRPr="00000000">
        <w:rPr>
          <w:color w:val="1f1f1f"/>
          <w:rtl w:val="0"/>
        </w:rPr>
        <w:t xml:space="preserve"> No internal fraud detected. However, Bridge voluntarily paused its proprietary stablecoin-linked card program in January 2026 after internal monitoring systems detected elevated external fraud attempts and highly suspicious user activity probing its defenses.</w:t>
      </w:r>
    </w:p>
    <w:p w:rsidR="00000000" w:rsidDel="00000000" w:rsidP="00000000" w:rsidRDefault="00000000" w:rsidRPr="00000000" w14:paraId="0000000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Sources:</w:t>
      </w:r>
      <w:hyperlink r:id="rId20">
        <w:r w:rsidDel="00000000" w:rsidR="00000000" w:rsidRPr="00000000">
          <w:rPr>
            <w:color w:val="1f1f1f"/>
            <w:rtl w:val="0"/>
          </w:rPr>
          <w:t xml:space="preserve"> </w:t>
        </w:r>
      </w:hyperlink>
      <w:hyperlink r:id="rId21">
        <w:r w:rsidDel="00000000" w:rsidR="00000000" w:rsidRPr="00000000">
          <w:rPr>
            <w:color w:val="0b57d0"/>
            <w:u w:val="single"/>
            <w:rtl w:val="0"/>
          </w:rPr>
          <w:t xml:space="preserve">https://sacra.com/c/stripe/</w:t>
        </w:r>
      </w:hyperlink>
      <w:r w:rsidDel="00000000" w:rsidR="00000000" w:rsidRPr="00000000">
        <w:rPr>
          <w:rtl w:val="0"/>
        </w:rPr>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Internal Controls (Deficient compliance programs):</w:t>
      </w:r>
      <w:r w:rsidDel="00000000" w:rsidR="00000000" w:rsidRPr="00000000">
        <w:rPr>
          <w:color w:val="1f1f1f"/>
          <w:rtl w:val="0"/>
        </w:rPr>
        <w:t xml:space="preserve"> Following the Kontigo sanctions evasion scare, Bridge's internal controls were thoroughly overhauled and tightened, indicating previous geographic restrictions were likely too porous to appease traditional banking partners like JPMorgan Chase, which froze Kontigo's intermediary accounts.</w:t>
      </w:r>
    </w:p>
    <w:p w:rsidR="00000000" w:rsidDel="00000000" w:rsidP="00000000" w:rsidRDefault="00000000" w:rsidRPr="00000000" w14:paraId="00000010">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Sources:</w:t>
      </w:r>
      <w:hyperlink r:id="rId22">
        <w:r w:rsidDel="00000000" w:rsidR="00000000" w:rsidRPr="00000000">
          <w:rPr>
            <w:color w:val="1f1f1f"/>
            <w:rtl w:val="0"/>
          </w:rPr>
          <w:t xml:space="preserve"> </w:t>
        </w:r>
      </w:hyperlink>
      <w:hyperlink r:id="rId23">
        <w:r w:rsidDel="00000000" w:rsidR="00000000" w:rsidRPr="00000000">
          <w:rPr>
            <w:color w:val="0b57d0"/>
            <w:u w:val="single"/>
            <w:rtl w:val="0"/>
          </w:rPr>
          <w:t xml:space="preserve">https://www.binance.com/en/square/post/34323449699721</w:t>
        </w:r>
      </w:hyperlink>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3. Executive &amp; Key Person Risk</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Personal Misconduct (Harassment, toxicity, personal legal trouble):</w:t>
      </w:r>
      <w:r w:rsidDel="00000000" w:rsidR="00000000" w:rsidRPr="00000000">
        <w:rPr>
          <w:color w:val="1f1f1f"/>
          <w:rtl w:val="0"/>
        </w:rPr>
        <w:t xml:space="preserve"> None found. Co-founders Zach Abrams and Sean Yu have unblemished public records.</w:t>
      </w:r>
    </w:p>
    <w:p w:rsidR="00000000" w:rsidDel="00000000" w:rsidP="00000000" w:rsidRDefault="00000000" w:rsidRPr="00000000" w14:paraId="00000013">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Note on False Positive:</w:t>
      </w:r>
      <w:r w:rsidDel="00000000" w:rsidR="00000000" w:rsidRPr="00000000">
        <w:rPr>
          <w:color w:val="1f1f1f"/>
          <w:rtl w:val="0"/>
        </w:rPr>
        <w:t xml:space="preserve"> An article mentioned Zach Abrams in relation to a lawsuit where a judge froze $57.6M in USDC, but Abrams was merely quoted in the article providing general commentary on stablecoin issuance speed; he was not a defendant or party to the case.</w:t>
      </w:r>
    </w:p>
    <w:p w:rsidR="00000000" w:rsidDel="00000000" w:rsidP="00000000" w:rsidRDefault="00000000" w:rsidRPr="00000000" w14:paraId="0000001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Sources:</w:t>
      </w:r>
      <w:hyperlink r:id="rId24">
        <w:r w:rsidDel="00000000" w:rsidR="00000000" w:rsidRPr="00000000">
          <w:rPr>
            <w:color w:val="1f1f1f"/>
            <w:rtl w:val="0"/>
          </w:rPr>
          <w:t xml:space="preserve"> </w:t>
        </w:r>
      </w:hyperlink>
      <w:hyperlink r:id="rId25">
        <w:r w:rsidDel="00000000" w:rsidR="00000000" w:rsidRPr="00000000">
          <w:rPr>
            <w:color w:val="0b57d0"/>
            <w:u w:val="single"/>
            <w:rtl w:val="0"/>
          </w:rPr>
          <w:t xml:space="preserve">https://www.mexc.com/news/tag/on-chain?page=4298</w:t>
        </w:r>
      </w:hyperlink>
      <w:r w:rsidDel="00000000" w:rsidR="00000000" w:rsidRPr="00000000">
        <w:rPr>
          <w:rtl w:val="0"/>
        </w:rPr>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Public Controversy (Polarizing statements, brand damage):</w:t>
      </w:r>
      <w:r w:rsidDel="00000000" w:rsidR="00000000" w:rsidRPr="00000000">
        <w:rPr>
          <w:color w:val="1f1f1f"/>
          <w:rtl w:val="0"/>
        </w:rPr>
        <w:t xml:space="preserve"> None found. Executives maintain strictly professional, enterprise-focused profiles.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Conflicts of Interest (Undisclosed stakes, self-dealing):</w:t>
      </w:r>
      <w:r w:rsidDel="00000000" w:rsidR="00000000" w:rsidRPr="00000000">
        <w:rPr>
          <w:color w:val="1f1f1f"/>
          <w:rtl w:val="0"/>
        </w:rPr>
        <w:t xml:space="preserve"> None found.</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Distraction Factors (CEOs launching unrelated ventures):</w:t>
      </w:r>
      <w:r w:rsidDel="00000000" w:rsidR="00000000" w:rsidRPr="00000000">
        <w:rPr>
          <w:color w:val="1f1f1f"/>
          <w:rtl w:val="0"/>
        </w:rPr>
        <w:t xml:space="preserve"> None found. The executives are entirely focused on Bridge and its integration into Stripe's "Tempo" infrastructure.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4. Operational &amp; Security Risks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Cybersecurity (Hacks, wallet exploits, private key compromises):</w:t>
      </w:r>
      <w:r w:rsidDel="00000000" w:rsidR="00000000" w:rsidRPr="00000000">
        <w:rPr>
          <w:color w:val="1f1f1f"/>
          <w:rtl w:val="0"/>
        </w:rPr>
        <w:t xml:space="preserve"> No direct hacks, data breaches, or private key compromises of Bridge's API infrastructure have been reported. The company claims SOC 2 Type II compliance and relies on robust auditing.</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Reliability (Major service outages, withdrawal freezes):</w:t>
      </w:r>
      <w:r w:rsidDel="00000000" w:rsidR="00000000" w:rsidRPr="00000000">
        <w:rPr>
          <w:color w:val="1f1f1f"/>
          <w:rtl w:val="0"/>
        </w:rPr>
        <w:t xml:space="preserve"> While Bridge's software remains reliable, they suffer from intense counterparty banking risk. When JPMorgan Chase unilaterally froze the accounts of Checkbook (a partner mediating the Kontigo connection), it effectively shattered the fiat-to-crypto pipeline for those end-users overnight.</w:t>
      </w:r>
    </w:p>
    <w:p w:rsidR="00000000" w:rsidDel="00000000" w:rsidP="00000000" w:rsidRDefault="00000000" w:rsidRPr="00000000" w14:paraId="0000001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Sources:</w:t>
      </w:r>
      <w:hyperlink r:id="rId26">
        <w:r w:rsidDel="00000000" w:rsidR="00000000" w:rsidRPr="00000000">
          <w:rPr>
            <w:color w:val="1f1f1f"/>
            <w:rtl w:val="0"/>
          </w:rPr>
          <w:t xml:space="preserve"> </w:t>
        </w:r>
      </w:hyperlink>
      <w:hyperlink r:id="rId27">
        <w:r w:rsidDel="00000000" w:rsidR="00000000" w:rsidRPr="00000000">
          <w:rPr>
            <w:color w:val="0b57d0"/>
            <w:u w:val="single"/>
            <w:rtl w:val="0"/>
          </w:rPr>
          <w:t xml:space="preserve">https://www.mexc.co/en-PH/news/355820</w:t>
        </w:r>
      </w:hyperlink>
      <w:r w:rsidDel="00000000" w:rsidR="00000000" w:rsidRPr="00000000">
        <w:rPr>
          <w:rtl w:val="0"/>
        </w:rPr>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Asset Backing (Questions regarding 1:1 backing or transparency):</w:t>
      </w:r>
      <w:r w:rsidDel="00000000" w:rsidR="00000000" w:rsidRPr="00000000">
        <w:rPr>
          <w:color w:val="1f1f1f"/>
          <w:rtl w:val="0"/>
        </w:rPr>
        <w:t xml:space="preserve"> No issues found. Bridge legally guarantees 1:1 backing for its orchestrated stablecoins, utilizing highly liquid reserves (like U.S. Treasuries) held at regulated partners such as Lead Bank.</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5. Financial Health &amp; Stability</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Solvency (Liquidity crunches, emergency funding):</w:t>
      </w:r>
      <w:r w:rsidDel="00000000" w:rsidR="00000000" w:rsidRPr="00000000">
        <w:rPr>
          <w:color w:val="1f1f1f"/>
          <w:rtl w:val="0"/>
        </w:rPr>
        <w:t xml:space="preserve"> Exceptionally solvent. Bridge was acquired by Stripe in October 2024 for $1.1 billion, giving it the full financial backing of a fintech conglomerate valued at roughly $140 billion.</w:t>
      </w:r>
    </w:p>
    <w:p w:rsidR="00000000" w:rsidDel="00000000" w:rsidP="00000000" w:rsidRDefault="00000000" w:rsidRPr="00000000" w14:paraId="0000001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Sources:</w:t>
      </w:r>
      <w:hyperlink r:id="rId28">
        <w:r w:rsidDel="00000000" w:rsidR="00000000" w:rsidRPr="00000000">
          <w:rPr>
            <w:color w:val="1f1f1f"/>
            <w:rtl w:val="0"/>
          </w:rPr>
          <w:t xml:space="preserve"> </w:t>
        </w:r>
      </w:hyperlink>
      <w:hyperlink r:id="rId29">
        <w:r w:rsidDel="00000000" w:rsidR="00000000" w:rsidRPr="00000000">
          <w:rPr>
            <w:color w:val="0b57d0"/>
            <w:u w:val="single"/>
            <w:rtl w:val="0"/>
          </w:rPr>
          <w:t xml:space="preserve">https://thepaypers.com/payments/news/stripes-valuation-reportedly-set-to-reach-usd-140-bln-in-new-tender-offer</w:t>
        </w:r>
      </w:hyperlink>
      <w:r w:rsidDel="00000000" w:rsidR="00000000" w:rsidRPr="00000000">
        <w:rPr>
          <w:rtl w:val="0"/>
        </w:rPr>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Workforce (Mass layoffs):</w:t>
      </w:r>
      <w:r w:rsidDel="00000000" w:rsidR="00000000" w:rsidRPr="00000000">
        <w:rPr>
          <w:color w:val="1f1f1f"/>
          <w:rtl w:val="0"/>
        </w:rPr>
        <w:t xml:space="preserve"> None at Bridge. Parent company Stripe did cut approximately 300 jobs (3.5% of its workforce) in January 2025, but this was characterized as a strategic realignment rather than a distress signal, and Stripe projected a 17% overall headcount growth by the end of 2025.</w:t>
      </w:r>
    </w:p>
    <w:p w:rsidR="00000000" w:rsidDel="00000000" w:rsidP="00000000" w:rsidRDefault="00000000" w:rsidRPr="00000000" w14:paraId="00000021">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Sources:</w:t>
      </w:r>
      <w:hyperlink r:id="rId30">
        <w:r w:rsidDel="00000000" w:rsidR="00000000" w:rsidRPr="00000000">
          <w:rPr>
            <w:color w:val="1f1f1f"/>
            <w:rtl w:val="0"/>
          </w:rPr>
          <w:t xml:space="preserve"> </w:t>
        </w:r>
      </w:hyperlink>
      <w:hyperlink r:id="rId31">
        <w:r w:rsidDel="00000000" w:rsidR="00000000" w:rsidRPr="00000000">
          <w:rPr>
            <w:color w:val="0b57d0"/>
            <w:u w:val="single"/>
            <w:rtl w:val="0"/>
          </w:rPr>
          <w:t xml:space="preserve">https://www.techinasia.com/news/stripe-cuts-300-jobs-product-engineering-operations</w:t>
        </w:r>
      </w:hyperlink>
      <w:r w:rsidDel="00000000" w:rsidR="00000000" w:rsidRPr="00000000">
        <w:rPr>
          <w:rtl w:val="0"/>
        </w:rPr>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Valuation Shocks (Drastic down rounds):</w:t>
      </w:r>
      <w:r w:rsidDel="00000000" w:rsidR="00000000" w:rsidRPr="00000000">
        <w:rPr>
          <w:color w:val="1f1f1f"/>
          <w:rtl w:val="0"/>
        </w:rPr>
        <w:t xml:space="preserve"> No negative shocks. The $1.1B Stripe acquisition represented a massive 5.5x multiple over Bridge's Series A valuation from just months prior.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acra.com/c/stripe/" TargetMode="External"/><Relationship Id="rId22" Type="http://schemas.openxmlformats.org/officeDocument/2006/relationships/hyperlink" Target="https://www.binance.com/en/square/post/34323449699721" TargetMode="External"/><Relationship Id="rId21" Type="http://schemas.openxmlformats.org/officeDocument/2006/relationships/hyperlink" Target="https://sacra.com/c/stripe/" TargetMode="External"/><Relationship Id="rId24" Type="http://schemas.openxmlformats.org/officeDocument/2006/relationships/hyperlink" Target="https://www.mexc.com/news/tag/on-chain?page=4298" TargetMode="External"/><Relationship Id="rId23" Type="http://schemas.openxmlformats.org/officeDocument/2006/relationships/hyperlink" Target="https://www.binance.com/en/square/post/343234496997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c.gov/enforcement-litigation/litigation-releases/lr-26310" TargetMode="External"/><Relationship Id="rId26" Type="http://schemas.openxmlformats.org/officeDocument/2006/relationships/hyperlink" Target="https://www.mexc.co/en-PH/news/355820" TargetMode="External"/><Relationship Id="rId25" Type="http://schemas.openxmlformats.org/officeDocument/2006/relationships/hyperlink" Target="https://www.mexc.com/news/tag/on-chain?page=4298" TargetMode="External"/><Relationship Id="rId28" Type="http://schemas.openxmlformats.org/officeDocument/2006/relationships/hyperlink" Target="https://thepaypers.com/payments/news/stripes-valuation-reportedly-set-to-reach-usd-140-bln-in-new-tender-offer" TargetMode="External"/><Relationship Id="rId27" Type="http://schemas.openxmlformats.org/officeDocument/2006/relationships/hyperlink" Target="https://www.mexc.co/en-PH/news/355820" TargetMode="External"/><Relationship Id="rId5" Type="http://schemas.openxmlformats.org/officeDocument/2006/relationships/styles" Target="styles.xml"/><Relationship Id="rId6" Type="http://schemas.openxmlformats.org/officeDocument/2006/relationships/hyperlink" Target="https://www.sec.gov/enforcement-litigation/litigation-releases/lr-25987" TargetMode="External"/><Relationship Id="rId29" Type="http://schemas.openxmlformats.org/officeDocument/2006/relationships/hyperlink" Target="https://thepaypers.com/payments/news/stripes-valuation-reportedly-set-to-reach-usd-140-bln-in-new-tender-offer" TargetMode="External"/><Relationship Id="rId7" Type="http://schemas.openxmlformats.org/officeDocument/2006/relationships/hyperlink" Target="https://www.sec.gov/enforcement-litigation/litigation-releases/lr-25987" TargetMode="External"/><Relationship Id="rId8" Type="http://schemas.openxmlformats.org/officeDocument/2006/relationships/hyperlink" Target="https://www.sec.gov/enforcement-litigation/litigation-releases/lr-26310" TargetMode="External"/><Relationship Id="rId31" Type="http://schemas.openxmlformats.org/officeDocument/2006/relationships/hyperlink" Target="https://www.techinasia.com/news/stripe-cuts-300-jobs-product-engineering-operations" TargetMode="External"/><Relationship Id="rId30" Type="http://schemas.openxmlformats.org/officeDocument/2006/relationships/hyperlink" Target="https://www.techinasia.com/news/stripe-cuts-300-jobs-product-engineering-operations" TargetMode="External"/><Relationship Id="rId11" Type="http://schemas.openxmlformats.org/officeDocument/2006/relationships/hyperlink" Target="https://www.bridge.xyz/legal/bridge-stablecoin-terms/bridge-building-inc" TargetMode="External"/><Relationship Id="rId10" Type="http://schemas.openxmlformats.org/officeDocument/2006/relationships/hyperlink" Target="https://www.bridge.xyz/legal/bridge-stablecoin-terms/bridge-building-inc" TargetMode="External"/><Relationship Id="rId13" Type="http://schemas.openxmlformats.org/officeDocument/2006/relationships/hyperlink" Target="https://business.cch.com/BFLD/OCC-Corporate-Decision-No-1365-02122026.pdf" TargetMode="External"/><Relationship Id="rId12" Type="http://schemas.openxmlformats.org/officeDocument/2006/relationships/hyperlink" Target="https://business.cch.com/BFLD/OCC-Corporate-Decision-No-1365-02122026.pdf" TargetMode="External"/><Relationship Id="rId15" Type="http://schemas.openxmlformats.org/officeDocument/2006/relationships/hyperlink" Target="https://ncrc.org/ncrc-comment-in-opposition-to-stripe-incs-national-trust-charter-application/" TargetMode="External"/><Relationship Id="rId14" Type="http://schemas.openxmlformats.org/officeDocument/2006/relationships/hyperlink" Target="https://ncrc.org/ncrc-comment-in-opposition-to-stripe-incs-national-trust-charter-application/" TargetMode="External"/><Relationship Id="rId17" Type="http://schemas.openxmlformats.org/officeDocument/2006/relationships/hyperlink" Target="https://www.pymnts.com/cryptocurrency/2026/stripes-stablecoin-expansion-faces-sanctions-scrutiny/" TargetMode="External"/><Relationship Id="rId16" Type="http://schemas.openxmlformats.org/officeDocument/2006/relationships/hyperlink" Target="https://www.pymnts.com/cryptocurrency/2026/stripes-stablecoin-expansion-faces-sanctions-scrutiny/" TargetMode="External"/><Relationship Id="rId19" Type="http://schemas.openxmlformats.org/officeDocument/2006/relationships/hyperlink" Target="https://raw.githubusercontent.com/businesslinkmedia/publications/main/BusinessLink/2026/BL-2026-02-February.pdf" TargetMode="External"/><Relationship Id="rId18" Type="http://schemas.openxmlformats.org/officeDocument/2006/relationships/hyperlink" Target="https://raw.githubusercontent.com/businesslinkmedia/publications/main/BusinessLink/2026/BL-2026-02-Februar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