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60"/>
          <w:szCs w:val="60"/>
        </w:rPr>
      </w:pPr>
      <w:bookmarkStart w:colFirst="0" w:colLast="0" w:name="_5x0d5h95i329" w:id="0"/>
      <w:bookmarkEnd w:id="0"/>
      <w:r w:rsidDel="00000000" w:rsidR="00000000" w:rsidRPr="00000000">
        <w:rPr>
          <w:b w:val="1"/>
          <w:bCs w:val="1"/>
          <w:color w:val="4a86e8"/>
          <w:sz w:val="60"/>
          <w:szCs w:val="60"/>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2026</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u0z0ia4c7s7z"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2026 to August 2026.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t xml:space="preserve">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2">
      <w:pPr>
        <w:rPr/>
      </w:pPr>
      <w:r w:rsidDel="00000000" w:rsidR="00000000" w:rsidRPr="00000000">
        <w:rPr>
          <w:rtl w:val="0"/>
        </w:rPr>
        <w:t xml:space="preserve">Risks that were measured considered the data storage and management procedures of the business. Potential threat sources and events were determined using the likelihood of a security incident given the open access permissions of the information system. The severity of potential incidents were weighed against the impact on day-to-day operational needs.</w:t>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