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Network and Infrastructure Security: A Comparative Performance and Security Analysis of VPN vs. SSH Tunneling</w:t>
      </w:r>
    </w:p>
    <w:p>
      <w:pPr>
        <w:spacing w:after="0"/>
        <w:jc w:val="center"/>
      </w:pPr>
      <w:r>
        <w:rPr>
          <w:rFonts w:ascii="Times New Roman" w:cs="Times New Roman" w:eastAsia="Times New Roman" w:hAnsi="Times New Roman"/>
          <w:sz w:val="22"/>
          <w:szCs w:val="22"/>
        </w:rPr>
        <w:t xml:space="preserve">Hubert YAKPE TROLINDO</w:t>
      </w:r>
    </w:p>
    <w:p>
      <w:pPr>
        <w:spacing w:after="0"/>
        <w:jc w:val="center"/>
      </w:pPr>
      <w:r>
        <w:rPr>
          <w:rFonts w:ascii="Times New Roman" w:cs="Times New Roman" w:eastAsia="Times New Roman" w:hAnsi="Times New Roman"/>
          <w:sz w:val="18"/>
          <w:szCs w:val="18"/>
        </w:rPr>
        <w:t xml:space="preserve">hu881229@ucf.edu</w:t>
      </w:r>
    </w:p>
    <w:p>
      <w:pPr>
        <w:spacing w:after="120"/>
        <w:jc w:val="center"/>
      </w:pPr>
      <w:r>
        <w:rPr>
          <w:rFonts w:ascii="Times New Roman" w:cs="Times New Roman" w:eastAsia="Times New Roman" w:hAnsi="Times New Roman"/>
          <w:sz w:val="18"/>
          <w:szCs w:val="18"/>
        </w:rPr>
        <w:t xml:space="preserve">University of Central Florida, Orlando, Florida, USA</w:t>
      </w:r>
    </w:p>
    <w:p>
      <w:pPr>
        <w:sectPr>
          <w:headerReference w:type="default" r:id="rId6"/>
          <w:footerReference w:type="default" r:id="rId7"/>
          <w:pgSz w:w="12240" w:h="15840" w:orient="portrait"/>
          <w:pgMar w:top="1080" w:right="1000" w:bottom="1080" w:left="1000" w:header="708" w:footer="708" w:gutter="0"/>
          <w:pgNumType/>
          <w:cols w:num="1"/>
          <w:docGrid w:linePitch="360"/>
        </w:sectPr>
      </w:pPr>
    </w:p>
    <w:p>
      <w:pPr>
        <w:spacing w:after="30"/>
      </w:pPr>
      <w:r>
        <w:rPr>
          <w:rFonts w:ascii="Times New Roman" w:cs="Times New Roman" w:eastAsia="Times New Roman" w:hAnsi="Times New Roman"/>
          <w:b/>
          <w:bCs/>
          <w:sz w:val="20"/>
          <w:szCs w:val="20"/>
        </w:rPr>
        <w:t xml:space="preserve">ABSTRACT</w:t>
      </w:r>
    </w:p>
    <w:p>
      <w:pPr>
        <w:spacing w:after="40" w:before="0" w:line="228"/>
        <w:jc w:val="both"/>
      </w:pPr>
      <w:r>
        <w:rPr>
          <w:rFonts w:ascii="Times New Roman" w:cs="Times New Roman" w:eastAsia="Times New Roman" w:hAnsi="Times New Roman"/>
          <w:sz w:val="18"/>
          <w:szCs w:val="18"/>
        </w:rPr>
        <w:t xml:space="preserve">Layer-3 VPNs and SSH tunnels are often deployed interchangeably to protect data in transit, without measured evidence of what each costs. We built an automated, single-host testbed of three Linux network namespaces with a custom loss/delay emulator and compared WireGuard, OpenVPN (UDP and TCP), SSH port forwarding and SSH layer-3 tunnelling against an unencrypted baseline over 3–5 randomized trials. On a clean link, SSH port forwarding reached 8.60 Gbit/s with AES-GCM, userspace WireGuard 1.58 Gbit/s and OpenVPN about 727 Mbit/s; changing OpenVPN’s cipher did not change its throughput, indicating per-packet processing rather than cryptography as the bottleneck. Under random loss with CUBIC, every tunnel tracked plain TCP within about 10% and no TCP-over-TCP collapse appeared; with BBR, however, TCP-in-TCP tunnels lost 28–43% of throughput. Security differs more than speed: WireGuard and OpenVPN with tls-crypt stayed silent to unauthenticated probes, whereas SSH disclosed its software version. We conclude with deployment guidelines.</w:t>
      </w:r>
    </w:p>
    <w:p>
      <w:pPr>
        <w:spacing w:after="30" w:before="40"/>
        <w:jc w:val="left"/>
      </w:pPr>
      <w:r>
        <w:rPr>
          <w:rFonts w:ascii="Times New Roman" w:cs="Times New Roman" w:eastAsia="Times New Roman" w:hAnsi="Times New Roman"/>
          <w:b/>
          <w:bCs/>
          <w:sz w:val="18"/>
          <w:szCs w:val="18"/>
        </w:rPr>
        <w:t xml:space="preserve">Code &amp; artifacts: </w:t>
      </w:r>
      <w:hyperlink w:history="1" r:id="rIdafilcqbm1czn1aotpok8_">
        <w:r>
          <w:rPr>
            <w:rStyle w:val="Hyperlink"/>
            <w:rFonts w:ascii="Times New Roman" w:cs="Times New Roman" w:eastAsia="Times New Roman" w:hAnsi="Times New Roman"/>
            <w:sz w:val="17"/>
            <w:szCs w:val="17"/>
          </w:rPr>
          <w:t xml:space="preserve">https://github.com/cybsecoff31/vpn-vs-ssh-tunnel-benchmark</w:t>
        </w:r>
      </w:hyperlink>
    </w:p>
    <w:p>
      <w:pPr>
        <w:spacing w:after="20"/>
        <w:jc w:val="left"/>
      </w:pPr>
      <w:r>
        <w:rPr>
          <w:rFonts w:ascii="Times New Roman" w:cs="Times New Roman" w:eastAsia="Times New Roman" w:hAnsi="Times New Roman"/>
          <w:b/>
          <w:bCs/>
          <w:sz w:val="18"/>
          <w:szCs w:val="18"/>
        </w:rPr>
        <w:t xml:space="preserve">CCS Concepts: </w:t>
      </w:r>
      <w:r>
        <w:rPr>
          <w:rFonts w:ascii="Times New Roman" w:cs="Times New Roman" w:eastAsia="Times New Roman" w:hAnsi="Times New Roman"/>
          <w:sz w:val="18"/>
          <w:szCs w:val="18"/>
        </w:rPr>
        <w:t xml:space="preserve">• Security and privacy → Network security; • Networks → Network performance evaluation.</w:t>
      </w:r>
    </w:p>
    <w:p>
      <w:pPr>
        <w:spacing w:after="80"/>
        <w:jc w:val="left"/>
      </w:pPr>
      <w:r>
        <w:rPr>
          <w:rFonts w:ascii="Times New Roman" w:cs="Times New Roman" w:eastAsia="Times New Roman" w:hAnsi="Times New Roman"/>
          <w:b/>
          <w:bCs/>
          <w:sz w:val="18"/>
          <w:szCs w:val="18"/>
        </w:rPr>
        <w:t xml:space="preserve">Keywords: </w:t>
      </w:r>
      <w:r>
        <w:rPr>
          <w:rFonts w:ascii="Times New Roman" w:cs="Times New Roman" w:eastAsia="Times New Roman" w:hAnsi="Times New Roman"/>
          <w:sz w:val="18"/>
          <w:szCs w:val="18"/>
        </w:rPr>
        <w:t xml:space="preserve">VPN, SSH tunneling, WireGuard, OpenVPN, TCP-over-TCP, benchmarking, attack surface</w:t>
      </w:r>
    </w:p>
    <w:p>
      <w:pPr>
        <w:pStyle w:val="Heading1"/>
        <w:keepNext/>
        <w:spacing w:after="50" w:before="120"/>
      </w:pPr>
      <w:r>
        <w:rPr>
          <w:rFonts w:ascii="Times New Roman" w:cs="Times New Roman" w:eastAsia="Times New Roman" w:hAnsi="Times New Roman"/>
          <w:b/>
          <w:bCs/>
          <w:sz w:val="20"/>
          <w:szCs w:val="20"/>
        </w:rPr>
        <w:t xml:space="preserve">1 INTRODUCTION &amp; PROBLEM STATEMENT</w:t>
      </w:r>
    </w:p>
    <w:p>
      <w:pPr>
        <w:spacing w:after="40" w:before="0" w:line="228"/>
        <w:jc w:val="both"/>
      </w:pPr>
      <w:r>
        <w:rPr>
          <w:rFonts w:ascii="Times New Roman" w:cs="Times New Roman" w:eastAsia="Times New Roman" w:hAnsi="Times New Roman"/>
          <w:sz w:val="18"/>
          <w:szCs w:val="18"/>
        </w:rPr>
        <w:t xml:space="preserve">Remote work, multi-cloud deployments and fleets of edge gateways have made encryption of data in transit a default requirement rather than an option. Two architectural families dominate in practice: </w:t>
      </w:r>
      <w:r>
        <w:rPr>
          <w:rFonts w:ascii="Times New Roman" w:cs="Times New Roman" w:eastAsia="Times New Roman" w:hAnsi="Times New Roman"/>
          <w:i/>
          <w:iCs/>
          <w:sz w:val="18"/>
          <w:szCs w:val="18"/>
        </w:rPr>
        <w:t xml:space="preserve">layer-3 virtual private networks</w:t>
      </w:r>
      <w:r>
        <w:rPr>
          <w:rFonts w:ascii="Times New Roman" w:cs="Times New Roman" w:eastAsia="Times New Roman" w:hAnsi="Times New Roman"/>
          <w:sz w:val="18"/>
          <w:szCs w:val="18"/>
        </w:rPr>
        <w:t xml:space="preserve"> (VPNs), which encapsulate whole IP packets in an encrypted envelope, and </w:t>
      </w:r>
      <w:r>
        <w:rPr>
          <w:rFonts w:ascii="Times New Roman" w:cs="Times New Roman" w:eastAsia="Times New Roman" w:hAnsi="Times New Roman"/>
          <w:i/>
          <w:iCs/>
          <w:sz w:val="18"/>
          <w:szCs w:val="18"/>
        </w:rPr>
        <w:t xml:space="preserve">Secure Shell (SSH) tunnelling</w:t>
      </w:r>
      <w:r>
        <w:rPr>
          <w:rFonts w:ascii="Times New Roman" w:cs="Times New Roman" w:eastAsia="Times New Roman" w:hAnsi="Times New Roman"/>
          <w:sz w:val="18"/>
          <w:szCs w:val="18"/>
        </w:rPr>
        <w:t xml:space="preserve">, which multiplexes application byte streams over one authenticated TCP connection [21, 22]. Administrators frequently choose between them by familiarity—an </w:t>
      </w:r>
      <w:r>
        <w:rPr>
          <w:rFonts w:ascii="Courier New" w:cs="Courier New" w:eastAsia="Courier New" w:hAnsi="Courier New"/>
          <w:sz w:val="16"/>
          <w:szCs w:val="16"/>
        </w:rPr>
        <w:t xml:space="preserve">ssh -L</w:t>
      </w:r>
      <w:r>
        <w:rPr>
          <w:rFonts w:ascii="Times New Roman" w:cs="Times New Roman" w:eastAsia="Times New Roman" w:hAnsi="Times New Roman"/>
          <w:sz w:val="18"/>
          <w:szCs w:val="18"/>
        </w:rPr>
        <w:t xml:space="preserve"> command is one line—rather than by measured cost, even though the two differ in where packets are processed, which transport carries them, and how much attack surface they expose.</w:t>
      </w:r>
    </w:p>
    <w:p>
      <w:pPr>
        <w:spacing w:after="40" w:line="228"/>
        <w:jc w:val="both"/>
      </w:pPr>
      <w:r>
        <w:rPr>
          <w:rFonts w:ascii="Times New Roman" w:cs="Times New Roman" w:eastAsia="Times New Roman" w:hAnsi="Times New Roman"/>
          <w:b/>
          <w:bCs/>
          <w:sz w:val="18"/>
          <w:szCs w:val="18"/>
        </w:rPr>
        <w:t xml:space="preserve">Problem statement. </w:t>
      </w:r>
      <w:r>
        <w:rPr>
          <w:rFonts w:ascii="Times New Roman" w:cs="Times New Roman" w:eastAsia="Times New Roman" w:hAnsi="Times New Roman"/>
          <w:sz w:val="18"/>
          <w:szCs w:val="18"/>
        </w:rPr>
        <w:t xml:space="preserve">There is little controlled, reproducible evidence that compares modern VPNs and SSH tunnels on the </w:t>
      </w:r>
      <w:r>
        <w:rPr>
          <w:rFonts w:ascii="Times New Roman" w:cs="Times New Roman" w:eastAsia="Times New Roman" w:hAnsi="Times New Roman"/>
          <w:i/>
          <w:iCs/>
          <w:sz w:val="18"/>
          <w:szCs w:val="18"/>
        </w:rPr>
        <w:t xml:space="preserve">same</w:t>
      </w:r>
      <w:r>
        <w:rPr>
          <w:rFonts w:ascii="Times New Roman" w:cs="Times New Roman" w:eastAsia="Times New Roman" w:hAnsi="Times New Roman"/>
          <w:sz w:val="18"/>
          <w:szCs w:val="18"/>
        </w:rPr>
        <w:t xml:space="preserve"> host, link and workload, and that reports performance and security side by side. This report asks:</w:t>
      </w:r>
    </w:p>
    <w:p>
      <w:pPr>
        <w:pStyle w:val="ListParagraph"/>
        <w:numPr>
          <w:ilvl w:val="0"/>
          <w:numId w:val="2"/>
        </w:numPr>
        <w:spacing w:after="20" w:line="228"/>
        <w:jc w:val="both"/>
      </w:pPr>
      <w:r>
        <w:rPr>
          <w:rFonts w:ascii="Times New Roman" w:cs="Times New Roman" w:eastAsia="Times New Roman" w:hAnsi="Times New Roman"/>
          <w:b/>
          <w:bCs/>
          <w:sz w:val="18"/>
          <w:szCs w:val="18"/>
        </w:rPr>
        <w:t xml:space="preserve">RQ1 (efficiency):</w:t>
      </w:r>
      <w:r>
        <w:rPr>
          <w:rFonts w:ascii="Times New Roman" w:cs="Times New Roman" w:eastAsia="Times New Roman" w:hAnsi="Times New Roman"/>
          <w:sz w:val="18"/>
          <w:szCs w:val="18"/>
        </w:rPr>
        <w:t xml:space="preserve"> How much throughput, latency and CPU does each tunnel cost relative to an unencrypted baseline on an uncongested link?</w:t>
      </w:r>
    </w:p>
    <w:p>
      <w:pPr>
        <w:pStyle w:val="ListParagraph"/>
        <w:numPr>
          <w:ilvl w:val="0"/>
          <w:numId w:val="2"/>
        </w:numPr>
        <w:spacing w:after="20" w:line="228"/>
        <w:jc w:val="both"/>
      </w:pPr>
      <w:r>
        <w:rPr>
          <w:rFonts w:ascii="Times New Roman" w:cs="Times New Roman" w:eastAsia="Times New Roman" w:hAnsi="Times New Roman"/>
          <w:b/>
          <w:bCs/>
          <w:sz w:val="18"/>
          <w:szCs w:val="18"/>
        </w:rPr>
        <w:t xml:space="preserve">RQ2 (robustness):</w:t>
      </w:r>
      <w:r>
        <w:rPr>
          <w:rFonts w:ascii="Times New Roman" w:cs="Times New Roman" w:eastAsia="Times New Roman" w:hAnsi="Times New Roman"/>
          <w:sz w:val="18"/>
          <w:szCs w:val="18"/>
        </w:rPr>
        <w:t xml:space="preserve"> How does throughput degrade as random packet loss grows, and does carrying TCP inside TCP cause the “meltdown” described in the literature [8, 19]?</w:t>
      </w:r>
    </w:p>
    <w:p>
      <w:pPr>
        <w:pStyle w:val="ListParagraph"/>
        <w:numPr>
          <w:ilvl w:val="0"/>
          <w:numId w:val="2"/>
        </w:numPr>
        <w:spacing w:after="20" w:line="228"/>
        <w:jc w:val="both"/>
      </w:pPr>
      <w:r>
        <w:rPr>
          <w:rFonts w:ascii="Times New Roman" w:cs="Times New Roman" w:eastAsia="Times New Roman" w:hAnsi="Times New Roman"/>
          <w:b/>
          <w:bCs/>
          <w:sz w:val="18"/>
          <w:szCs w:val="18"/>
        </w:rPr>
        <w:t xml:space="preserve">RQ3 (security):</w:t>
      </w:r>
      <w:r>
        <w:rPr>
          <w:rFonts w:ascii="Times New Roman" w:cs="Times New Roman" w:eastAsia="Times New Roman" w:hAnsi="Times New Roman"/>
          <w:sz w:val="18"/>
          <w:szCs w:val="18"/>
        </w:rPr>
        <w:t xml:space="preserve"> How do the tunnels differ in handshake cost, exposure to unauthenticated probing, cryptographic agility and code size?</w:t>
      </w:r>
    </w:p>
    <w:p>
      <w:pPr>
        <w:spacing w:after="40" w:line="228"/>
        <w:jc w:val="both"/>
      </w:pPr>
      <w:r>
        <w:rPr>
          <w:rFonts w:ascii="Times New Roman" w:cs="Times New Roman" w:eastAsia="Times New Roman" w:hAnsi="Times New Roman"/>
          <w:b/>
          <w:bCs/>
          <w:sz w:val="18"/>
          <w:szCs w:val="18"/>
        </w:rPr>
        <w:t xml:space="preserve">Contributions. </w:t>
      </w:r>
      <w:r>
        <w:rPr>
          <w:rFonts w:ascii="Times New Roman" w:cs="Times New Roman" w:eastAsia="Times New Roman" w:hAnsi="Times New Roman"/>
          <w:sz w:val="18"/>
          <w:szCs w:val="18"/>
        </w:rPr>
        <w:t xml:space="preserve">We (i) release an automated, single-host namespace testbed with a userspace loss/delay emulator; (ii) measure six tunnel configurations plus two cipher variants over 3–5 randomized trials with 95% confidence intervals; (iii) revisit two causal claims from our milestone—user-space context-switching and SSH “TCP-over-TCP meltdown”—and qualify them with evidence; and (iv) derive a concrete security comparison and deployment guide.</w:t>
      </w:r>
    </w:p>
    <w:p>
      <w:pPr>
        <w:pStyle w:val="Heading1"/>
        <w:keepNext/>
        <w:spacing w:after="50" w:before="120"/>
      </w:pPr>
      <w:r>
        <w:rPr>
          <w:rFonts w:ascii="Times New Roman" w:cs="Times New Roman" w:eastAsia="Times New Roman" w:hAnsi="Times New Roman"/>
          <w:b/>
          <w:bCs/>
          <w:sz w:val="20"/>
          <w:szCs w:val="20"/>
        </w:rPr>
        <w:t xml:space="preserve">2 RELATED WORK</w:t>
      </w:r>
    </w:p>
    <w:p>
      <w:pPr>
        <w:spacing w:after="40" w:line="228"/>
        <w:jc w:val="both"/>
      </w:pPr>
      <w:r>
        <w:rPr>
          <w:rFonts w:ascii="Times New Roman" w:cs="Times New Roman" w:eastAsia="Times New Roman" w:hAnsi="Times New Roman"/>
          <w:b/>
          <w:bCs/>
          <w:sz w:val="18"/>
          <w:szCs w:val="18"/>
        </w:rPr>
        <w:t xml:space="preserve">VPN performance. </w:t>
      </w:r>
      <w:r>
        <w:rPr>
          <w:rFonts w:ascii="Times New Roman" w:cs="Times New Roman" w:eastAsia="Times New Roman" w:hAnsi="Times New Roman"/>
          <w:sz w:val="18"/>
          <w:szCs w:val="18"/>
        </w:rPr>
        <w:t xml:space="preserve">Donenfeld introduced WireGuard as a small in-kernel tunnel built on the Noise framework and reported higher throughput than IPsec and OpenVPN [5, 14]. Mackey et al. confirmed WireGuard’s throughput advantage over OpenVPN on commodity hardware [11], and Pudelko et al. showed that OpenVPN is limited by its single-threaded user-space data path while kernel WireGuard and IPsec scale differently with cores and packet sizes, and that small packets expose per-packet costs most clearly [15]. These studies compare VPNs with one another; none includes SSH tunnels or a loss sweep. OpenVPN has since added Data Channel Offload to move encryption into the kernel [16].</w:t>
      </w:r>
    </w:p>
    <w:p>
      <w:pPr>
        <w:spacing w:after="40" w:line="228"/>
        <w:jc w:val="both"/>
      </w:pPr>
      <w:r>
        <w:rPr>
          <w:rFonts w:ascii="Times New Roman" w:cs="Times New Roman" w:eastAsia="Times New Roman" w:hAnsi="Times New Roman"/>
          <w:b/>
          <w:bCs/>
          <w:sz w:val="18"/>
          <w:szCs w:val="18"/>
        </w:rPr>
        <w:t xml:space="preserve">TCP-over-TCP. </w:t>
      </w:r>
      <w:r>
        <w:rPr>
          <w:rFonts w:ascii="Times New Roman" w:cs="Times New Roman" w:eastAsia="Times New Roman" w:hAnsi="Times New Roman"/>
          <w:sz w:val="18"/>
          <w:szCs w:val="18"/>
        </w:rPr>
        <w:t xml:space="preserve">Titz argued that stacking TCP on TCP lets the outer connection’s retransmissions inflate the inner connection’s timers, causing collapse under loss [19]. Honda et al. measured this effect and found it depends strongly on loss rate and buffer sizes [8]; Kim et al. later showed that congestion-control choice and transfer buffers change the outcome [9]. Loss-based TCP throughput itself scales roughly with 1/√p [12], which is why CUBIC [7] and model-based BBR [4] respond very differently to random loss.</w:t>
      </w:r>
    </w:p>
    <w:p>
      <w:pPr>
        <w:spacing w:after="40" w:line="228"/>
        <w:jc w:val="both"/>
      </w:pPr>
      <w:r>
        <w:rPr>
          <w:rFonts w:ascii="Times New Roman" w:cs="Times New Roman" w:eastAsia="Times New Roman" w:hAnsi="Times New Roman"/>
          <w:b/>
          <w:bCs/>
          <w:sz w:val="18"/>
          <w:szCs w:val="18"/>
        </w:rPr>
        <w:t xml:space="preserve">SSH throughput and security. </w:t>
      </w:r>
      <w:r>
        <w:rPr>
          <w:rFonts w:ascii="Times New Roman" w:cs="Times New Roman" w:eastAsia="Times New Roman" w:hAnsi="Times New Roman"/>
          <w:sz w:val="18"/>
          <w:szCs w:val="18"/>
        </w:rPr>
        <w:t xml:space="preserve">Rapier and Bennett showed that SSH’s fixed channel windows throttle bulk transfers on high bandwidth–delay paths and proposed HPN-SSH [17]. On the security side, WireGuard’s handshake has been analysed computationally [6] and mechanically verified [10]; SSH has suffered plaintext-recovery [1] and prefix-truncation (Terrapin) attacks [2]; and OpenVPN has been hit by 64-bit block-cipher collisions (Sweet32) [3] and is fingerprintable by active probing [20]. Prior work studies these dimensions separately; we measure them together on one testbed.</w:t>
      </w:r>
    </w:p>
    <w:p>
      <w:pPr>
        <w:pStyle w:val="Heading1"/>
        <w:keepNext/>
        <w:spacing w:after="50" w:before="120"/>
      </w:pPr>
      <w:r>
        <w:rPr>
          <w:rFonts w:ascii="Times New Roman" w:cs="Times New Roman" w:eastAsia="Times New Roman" w:hAnsi="Times New Roman"/>
          <w:b/>
          <w:bCs/>
          <w:sz w:val="20"/>
          <w:szCs w:val="20"/>
        </w:rPr>
        <w:t xml:space="preserve">3 METHODOLOGY</w:t>
      </w:r>
    </w:p>
    <w:p>
      <w:pPr>
        <w:spacing w:after="30" w:before="0" w:line="228"/>
        <w:jc w:val="both"/>
      </w:pPr>
      <w:r>
        <w:rPr>
          <w:rFonts w:ascii="Times New Roman" w:cs="Times New Roman" w:eastAsia="Times New Roman" w:hAnsi="Times New Roman"/>
          <w:sz w:val="18"/>
          <w:szCs w:val="18"/>
        </w:rPr>
        <w:t xml:space="preserve">Figure 1 summarizes the pipeline: tunnel configurations and network conditions (inputs) are deployed on a three-namespace testbed, exercised by performance and security probes, and reduced to the metrics of Section 4.1 (outputs).</w:t>
      </w:r>
    </w:p>
    <w:p>
      <w:pPr>
        <w:sectPr>
          <w:type w:val="continuous"/>
          <w:pgSz w:w="12240" w:h="15840" w:orient="portrait"/>
          <w:pgMar w:top="1080" w:right="1000" w:bottom="1080" w:left="1000" w:header="708" w:footer="708" w:gutter="0"/>
          <w:pgNumType/>
          <w:cols w:space="400" w:num="2" w:equalWidth="true"/>
          <w:docGrid w:linePitch="360"/>
        </w:sectPr>
      </w:pPr>
    </w:p>
    <w:p>
      <w:pPr>
        <w:keepNext/>
        <w:spacing w:after="20" w:before="40"/>
        <w:jc w:val="center"/>
      </w:pPr>
      <w:r>
        <w:drawing>
          <wp:inline distT="0" distB="0" distL="0" distR="0">
            <wp:extent cx="64008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2333625"/>
                    </a:xfrm>
                    <a:prstGeom prst="rect">
                      <a:avLst/>
                    </a:prstGeom>
                  </pic:spPr>
                </pic:pic>
              </a:graphicData>
            </a:graphic>
          </wp:inline>
        </w:drawing>
      </w:r>
    </w:p>
    <w:p>
      <w:pPr>
        <w:spacing w:after="90" w:before="20" w:line="216"/>
        <w:jc w:val="both"/>
      </w:pPr>
      <w:r>
        <w:rPr>
          <w:rFonts w:ascii="Times New Roman" w:cs="Times New Roman" w:eastAsia="Times New Roman" w:hAnsi="Times New Roman"/>
          <w:b/>
          <w:bCs/>
          <w:sz w:val="16"/>
          <w:szCs w:val="16"/>
        </w:rPr>
        <w:t xml:space="preserve">Figure 1. </w:t>
      </w:r>
      <w:r>
        <w:rPr>
          <w:rFonts w:ascii="Times New Roman" w:cs="Times New Roman" w:eastAsia="Times New Roman" w:hAnsi="Times New Roman"/>
          <w:sz w:val="16"/>
          <w:szCs w:val="16"/>
        </w:rPr>
        <w:t xml:space="preserve">Experimental pipeline. Inputs (1) are deployed on a three-namespace testbed (2); performance and security probes (3) produce per-trial records that are aggregated (4) into the tables, figures and guidelines of Sections 4–5 (5).</w:t>
      </w:r>
    </w:p>
    <w:p>
      <w:pPr>
        <w:sectPr>
          <w:type w:val="continuous"/>
          <w:pgSz w:w="12240" w:h="15840" w:orient="portrait"/>
          <w:pgMar w:top="1080" w:right="1000" w:bottom="1080" w:left="1000" w:header="708" w:footer="708" w:gutter="0"/>
          <w:pgNumType/>
          <w:cols w:num="1"/>
          <w:docGrid w:linePitch="360"/>
        </w:sectPr>
      </w:pPr>
    </w:p>
    <w:p>
      <w:pPr>
        <w:pStyle w:val="Heading2"/>
        <w:keepNext/>
        <w:spacing w:after="30" w:before="80"/>
      </w:pPr>
      <w:r>
        <w:rPr>
          <w:rFonts w:ascii="Times New Roman" w:cs="Times New Roman" w:eastAsia="Times New Roman" w:hAnsi="Times New Roman"/>
          <w:b/>
          <w:bCs/>
          <w:sz w:val="19"/>
          <w:szCs w:val="19"/>
        </w:rPr>
        <w:t xml:space="preserve">3.1 Testbed</w:t>
      </w:r>
    </w:p>
    <w:p>
      <w:pPr>
        <w:spacing w:after="40" w:before="0" w:line="228"/>
        <w:jc w:val="both"/>
      </w:pPr>
      <w:r>
        <w:rPr>
          <w:rFonts w:ascii="Times New Roman" w:cs="Times New Roman" w:eastAsia="Times New Roman" w:hAnsi="Times New Roman"/>
          <w:sz w:val="18"/>
          <w:szCs w:val="18"/>
        </w:rPr>
        <w:t xml:space="preserve">All experiments run on one Linux 6.18 virtual machine (2 vCPUs, Intel Xeon @ 2.8 GHz with AES-NI, 7 GiB RAM). Three network namespaces—client (</w:t>
      </w:r>
      <w:r>
        <w:rPr>
          <w:rFonts w:ascii="Courier New" w:cs="Courier New" w:eastAsia="Courier New" w:hAnsi="Courier New"/>
          <w:sz w:val="16"/>
          <w:szCs w:val="16"/>
        </w:rPr>
        <w:t xml:space="preserve">cli</w:t>
      </w:r>
      <w:r>
        <w:rPr>
          <w:rFonts w:ascii="Times New Roman" w:cs="Times New Roman" w:eastAsia="Times New Roman" w:hAnsi="Times New Roman"/>
          <w:sz w:val="18"/>
          <w:szCs w:val="18"/>
        </w:rPr>
        <w:t xml:space="preserve">), router (</w:t>
      </w:r>
      <w:r>
        <w:rPr>
          <w:rFonts w:ascii="Courier New" w:cs="Courier New" w:eastAsia="Courier New" w:hAnsi="Courier New"/>
          <w:sz w:val="16"/>
          <w:szCs w:val="16"/>
        </w:rPr>
        <w:t xml:space="preserve">rtr</w:t>
      </w:r>
      <w:r>
        <w:rPr>
          <w:rFonts w:ascii="Times New Roman" w:cs="Times New Roman" w:eastAsia="Times New Roman" w:hAnsi="Times New Roman"/>
          <w:sz w:val="18"/>
          <w:szCs w:val="18"/>
        </w:rPr>
        <w:t xml:space="preserve">) and server (</w:t>
      </w:r>
      <w:r>
        <w:rPr>
          <w:rFonts w:ascii="Courier New" w:cs="Courier New" w:eastAsia="Courier New" w:hAnsi="Courier New"/>
          <w:sz w:val="16"/>
          <w:szCs w:val="16"/>
        </w:rPr>
        <w:t xml:space="preserve">srv</w:t>
      </w:r>
      <w:r>
        <w:rPr>
          <w:rFonts w:ascii="Times New Roman" w:cs="Times New Roman" w:eastAsia="Times New Roman" w:hAnsi="Times New Roman"/>
          <w:sz w:val="18"/>
          <w:szCs w:val="18"/>
        </w:rPr>
        <w:t xml:space="preserve">)—are joined by veth pairs (MTU 1500), with routed underlay subnets 10.0.1.0/24 and 10.0.2.0/24 and tunnel addresses in 10.9.0.0/24. Client-side processes are pinned to vCPU 0 and server-side processes to vCPU 1 with </w:t>
      </w:r>
      <w:r>
        <w:rPr>
          <w:rFonts w:ascii="Courier New" w:cs="Courier New" w:eastAsia="Courier New" w:hAnsi="Courier New"/>
          <w:sz w:val="16"/>
          <w:szCs w:val="16"/>
        </w:rPr>
        <w:t xml:space="preserve">taskset</w:t>
      </w:r>
      <w:r>
        <w:rPr>
          <w:rFonts w:ascii="Times New Roman" w:cs="Times New Roman" w:eastAsia="Times New Roman" w:hAnsi="Times New Roman"/>
          <w:sz w:val="18"/>
          <w:szCs w:val="18"/>
        </w:rPr>
        <w:t xml:space="preserve">, so each endpoint behaves like a single-core gateway. All tools were built from source: OpenVPN 2.7.8 (OpenSSL 3.0.13), OpenSSH 10.6p1, wireguard-go (commit b3bc704), iperf3 3.22 [23] and iproute2.</w:t>
      </w:r>
    </w:p>
    <w:p>
      <w:pPr>
        <w:spacing w:after="40" w:line="228"/>
        <w:jc w:val="both"/>
      </w:pPr>
      <w:r>
        <w:rPr>
          <w:rFonts w:ascii="Times New Roman" w:cs="Times New Roman" w:eastAsia="Times New Roman" w:hAnsi="Times New Roman"/>
          <w:b/>
          <w:bCs/>
          <w:sz w:val="18"/>
          <w:szCs w:val="18"/>
        </w:rPr>
        <w:t xml:space="preserve">Impairment. </w:t>
      </w:r>
      <w:r>
        <w:rPr>
          <w:rFonts w:ascii="Times New Roman" w:cs="Times New Roman" w:eastAsia="Times New Roman" w:hAnsi="Times New Roman"/>
          <w:sz w:val="18"/>
          <w:szCs w:val="18"/>
        </w:rPr>
        <w:t xml:space="preserve">The kernel lacks the </w:t>
      </w:r>
      <w:r>
        <w:rPr>
          <w:rFonts w:ascii="Courier New" w:cs="Courier New" w:eastAsia="Courier New" w:hAnsi="Courier New"/>
          <w:sz w:val="16"/>
          <w:szCs w:val="16"/>
        </w:rPr>
        <w:t xml:space="preserve">netem</w:t>
      </w:r>
      <w:r>
        <w:rPr>
          <w:rFonts w:ascii="Times New Roman" w:cs="Times New Roman" w:eastAsia="Times New Roman" w:hAnsi="Times New Roman"/>
          <w:sz w:val="18"/>
          <w:szCs w:val="18"/>
        </w:rPr>
        <w:t xml:space="preserve"> queueing discipline, so we wrote </w:t>
      </w:r>
      <w:r>
        <w:rPr>
          <w:rFonts w:ascii="Courier New" w:cs="Courier New" w:eastAsia="Courier New" w:hAnsi="Courier New"/>
          <w:sz w:val="16"/>
          <w:szCs w:val="16"/>
        </w:rPr>
        <w:t xml:space="preserve">impair</w:t>
      </w:r>
      <w:r>
        <w:rPr>
          <w:rFonts w:ascii="Times New Roman" w:cs="Times New Roman" w:eastAsia="Times New Roman" w:hAnsi="Times New Roman"/>
          <w:sz w:val="18"/>
          <w:szCs w:val="18"/>
        </w:rPr>
        <w:t xml:space="preserve">, a 70-line C forwarder that sits between two TUN devices in </w:t>
      </w:r>
      <w:r>
        <w:rPr>
          <w:rFonts w:ascii="Courier New" w:cs="Courier New" w:eastAsia="Courier New" w:hAnsi="Courier New"/>
          <w:sz w:val="16"/>
          <w:szCs w:val="16"/>
        </w:rPr>
        <w:t xml:space="preserve">rtr</w:t>
      </w:r>
      <w:r>
        <w:rPr>
          <w:rFonts w:ascii="Times New Roman" w:cs="Times New Roman" w:eastAsia="Times New Roman" w:hAnsi="Times New Roman"/>
          <w:sz w:val="18"/>
          <w:szCs w:val="18"/>
        </w:rPr>
        <w:t xml:space="preserve"> and applies independent Bernoulli loss and a fixed one-way delay in each direction; policy routing steers all transit traffic through it. A </w:t>
      </w:r>
      <w:r>
        <w:rPr>
          <w:rFonts w:ascii="Courier New" w:cs="Courier New" w:eastAsia="Courier New" w:hAnsi="Courier New"/>
          <w:sz w:val="16"/>
          <w:szCs w:val="16"/>
        </w:rPr>
        <w:t xml:space="preserve">tbf</w:t>
      </w:r>
      <w:r>
        <w:rPr>
          <w:rFonts w:ascii="Times New Roman" w:cs="Times New Roman" w:eastAsia="Times New Roman" w:hAnsi="Times New Roman"/>
          <w:sz w:val="18"/>
          <w:szCs w:val="18"/>
        </w:rPr>
        <w:t xml:space="preserve"> token bucket (64 KB burst, 512 KB queue) caps the bottleneck at 100 Mbit/s. A sanity check with plain TCP reproduced the expected 1/√p collapse (96, 5.8 and 2.8 Mbit/s at 0, 1 and 2% loss) [12].</w:t>
      </w:r>
    </w:p>
    <w:p>
      <w:pPr>
        <w:pStyle w:val="Heading2"/>
        <w:keepNext/>
        <w:spacing w:after="30" w:before="80"/>
      </w:pPr>
      <w:r>
        <w:rPr>
          <w:rFonts w:ascii="Times New Roman" w:cs="Times New Roman" w:eastAsia="Times New Roman" w:hAnsi="Times New Roman"/>
          <w:b/>
          <w:bCs/>
          <w:sz w:val="19"/>
          <w:szCs w:val="19"/>
        </w:rPr>
        <w:t xml:space="preserve">3.2 Tunnel Configurations</w:t>
      </w:r>
    </w:p>
    <w:p>
      <w:pPr>
        <w:spacing w:after="40" w:before="0" w:line="228"/>
        <w:jc w:val="both"/>
      </w:pPr>
      <w:r>
        <w:rPr>
          <w:rFonts w:ascii="Times New Roman" w:cs="Times New Roman" w:eastAsia="Times New Roman" w:hAnsi="Times New Roman"/>
          <w:sz w:val="18"/>
          <w:szCs w:val="18"/>
        </w:rPr>
        <w:t xml:space="preserve">Table 1 lists the configurations and Figure 2 their protocol stacks. Two SSH modes are included deliberately: </w:t>
      </w:r>
      <w:r>
        <w:rPr>
          <w:rFonts w:ascii="Courier New" w:cs="Courier New" w:eastAsia="Courier New" w:hAnsi="Courier New"/>
          <w:sz w:val="16"/>
          <w:szCs w:val="16"/>
        </w:rPr>
        <w:t xml:space="preserve">-L</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port forwarding</w:t>
      </w:r>
      <w:r>
        <w:rPr>
          <w:rFonts w:ascii="Times New Roman" w:cs="Times New Roman" w:eastAsia="Times New Roman" w:hAnsi="Times New Roman"/>
          <w:sz w:val="18"/>
          <w:szCs w:val="18"/>
        </w:rPr>
        <w:t xml:space="preserve"> terminates the application’s TCP at the SSH endpoints and carries only bytes, whereas </w:t>
      </w:r>
      <w:r>
        <w:rPr>
          <w:rFonts w:ascii="Courier New" w:cs="Courier New" w:eastAsia="Courier New" w:hAnsi="Courier New"/>
          <w:sz w:val="16"/>
          <w:szCs w:val="16"/>
        </w:rPr>
        <w:t xml:space="preserve">-w</w:t>
      </w:r>
      <w:r>
        <w:rPr>
          <w:rFonts w:ascii="Times New Roman" w:cs="Times New Roman" w:eastAsia="Times New Roman" w:hAnsi="Times New Roman"/>
          <w:sz w:val="18"/>
          <w:szCs w:val="18"/>
        </w:rPr>
        <w:t xml:space="preserve"> creates a </w:t>
      </w:r>
      <w:r>
        <w:rPr>
          <w:rFonts w:ascii="Times New Roman" w:cs="Times New Roman" w:eastAsia="Times New Roman" w:hAnsi="Times New Roman"/>
          <w:i/>
          <w:iCs/>
          <w:sz w:val="18"/>
          <w:szCs w:val="18"/>
        </w:rPr>
        <w:t xml:space="preserve">layer-3 TUN tunnel</w:t>
      </w:r>
      <w:r>
        <w:rPr>
          <w:rFonts w:ascii="Times New Roman" w:cs="Times New Roman" w:eastAsia="Times New Roman" w:hAnsi="Times New Roman"/>
          <w:sz w:val="18"/>
          <w:szCs w:val="18"/>
        </w:rPr>
        <w:t xml:space="preserve"> that carries whole TCP/IP packets inside the SSH TCP stream—the genuine TCP-over-TCP case [19]. iperf3 has no SOCKS support, so dynamic forwarding (</w:t>
      </w:r>
      <w:r>
        <w:rPr>
          <w:rFonts w:ascii="Courier New" w:cs="Courier New" w:eastAsia="Courier New" w:hAnsi="Courier New"/>
          <w:sz w:val="16"/>
          <w:szCs w:val="16"/>
        </w:rPr>
        <w:t xml:space="preserve">-D</w:t>
      </w:r>
      <w:r>
        <w:rPr>
          <w:rFonts w:ascii="Times New Roman" w:cs="Times New Roman" w:eastAsia="Times New Roman" w:hAnsi="Times New Roman"/>
          <w:sz w:val="18"/>
          <w:szCs w:val="18"/>
        </w:rPr>
        <w:t xml:space="preserve">) is represented by </w:t>
      </w:r>
      <w:r>
        <w:rPr>
          <w:rFonts w:ascii="Courier New" w:cs="Courier New" w:eastAsia="Courier New" w:hAnsi="Courier New"/>
          <w:sz w:val="16"/>
          <w:szCs w:val="16"/>
        </w:rPr>
        <w:t xml:space="preserve">-L</w:t>
      </w:r>
      <w:r>
        <w:rPr>
          <w:rFonts w:ascii="Times New Roman" w:cs="Times New Roman" w:eastAsia="Times New Roman" w:hAnsi="Times New Roman"/>
          <w:sz w:val="18"/>
          <w:szCs w:val="18"/>
        </w:rPr>
        <w:t xml:space="preserve">; both open identical </w:t>
      </w:r>
      <w:r>
        <w:rPr>
          <w:rFonts w:ascii="Courier New" w:cs="Courier New" w:eastAsia="Courier New" w:hAnsi="Courier New"/>
          <w:sz w:val="16"/>
          <w:szCs w:val="16"/>
        </w:rPr>
        <w:t xml:space="preserve">direct-tcpip</w:t>
      </w:r>
      <w:r>
        <w:rPr>
          <w:rFonts w:ascii="Times New Roman" w:cs="Times New Roman" w:eastAsia="Times New Roman" w:hAnsi="Times New Roman"/>
          <w:sz w:val="18"/>
          <w:szCs w:val="18"/>
        </w:rPr>
        <w:t xml:space="preserve"> channels [22].</w:t>
      </w:r>
    </w:p>
    <w:p>
      <w:pPr>
        <w:keepNext/>
        <w:spacing w:after="30" w:before="60" w:line="216"/>
        <w:jc w:val="center"/>
      </w:pPr>
      <w:r>
        <w:rPr>
          <w:rFonts w:ascii="Times New Roman" w:cs="Times New Roman" w:eastAsia="Times New Roman" w:hAnsi="Times New Roman"/>
          <w:b/>
          <w:bCs/>
          <w:sz w:val="16"/>
          <w:szCs w:val="16"/>
        </w:rPr>
        <w:t xml:space="preserve">Table 1. </w:t>
      </w:r>
      <w:r>
        <w:rPr>
          <w:rFonts w:ascii="Times New Roman" w:cs="Times New Roman" w:eastAsia="Times New Roman" w:hAnsi="Times New Roman"/>
          <w:sz w:val="16"/>
          <w:szCs w:val="16"/>
        </w:rPr>
        <w:t xml:space="preserve">Tunnel configurations under test.</w:t>
      </w:r>
    </w:p>
    <w:tbl>
      <w:tblPr>
        <w:tblW w:type="dxa" w:w="4620"/>
        <w:jc w:val="center"/>
        <w:tblBorders>
          <w:top w:val="single" w:color="auto" w:sz="4"/>
          <w:left w:val="single" w:color="auto" w:sz="4"/>
          <w:bottom w:val="single" w:color="auto" w:sz="4"/>
          <w:right w:val="single" w:color="auto" w:sz="4"/>
          <w:insideH w:val="single" w:color="auto" w:sz="4"/>
          <w:insideV w:val="single" w:color="auto" w:sz="4"/>
        </w:tblBorders>
      </w:tblPr>
      <w:tblGrid>
        <w:gridCol w:w="620"/>
        <w:gridCol w:w="900"/>
        <w:gridCol w:w="2200"/>
        <w:gridCol w:w="900"/>
      </w:tblGrid>
      <w:tr>
        <w:trPr>
          <w:cantSplit/>
          <w:tblHeader/>
        </w:trPr>
        <w:tc>
          <w:tcPr>
            <w:tcW w:type="dxa" w:w="620"/>
            <w:tcBorders>
              <w:top w:val="single" w:color="000000" w:sz="6"/>
              <w:left w:val="none" w:color="FFFFFF" w:sz="0"/>
              <w:bottom w:val="single" w:color="000000" w:sz="6"/>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b/>
                <w:bCs/>
                <w:sz w:val="13"/>
                <w:szCs w:val="13"/>
              </w:rPr>
              <w:t xml:space="preserve">ID</w:t>
            </w:r>
          </w:p>
        </w:tc>
        <w:tc>
          <w:tcPr>
            <w:tcW w:type="dxa" w:w="900"/>
            <w:tcBorders>
              <w:top w:val="single" w:color="000000" w:sz="6"/>
              <w:left w:val="none" w:color="FFFFFF" w:sz="0"/>
              <w:bottom w:val="single" w:color="000000" w:sz="6"/>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b/>
                <w:bCs/>
                <w:sz w:val="13"/>
                <w:szCs w:val="13"/>
              </w:rPr>
              <w:t xml:space="preserve">Layer / transport</w:t>
            </w:r>
          </w:p>
        </w:tc>
        <w:tc>
          <w:tcPr>
            <w:tcW w:type="dxa" w:w="2200"/>
            <w:tcBorders>
              <w:top w:val="single" w:color="000000" w:sz="6"/>
              <w:left w:val="none" w:color="FFFFFF" w:sz="0"/>
              <w:bottom w:val="single" w:color="000000" w:sz="6"/>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b/>
                <w:bCs/>
                <w:sz w:val="13"/>
                <w:szCs w:val="13"/>
              </w:rPr>
              <w:t xml:space="preserve">Crypto (data / handshake)</w:t>
            </w:r>
          </w:p>
        </w:tc>
        <w:tc>
          <w:tcPr>
            <w:tcW w:type="dxa" w:w="900"/>
            <w:tcBorders>
              <w:top w:val="single" w:color="000000" w:sz="6"/>
              <w:left w:val="none" w:color="FFFFFF" w:sz="0"/>
              <w:bottom w:val="single" w:color="000000" w:sz="6"/>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b/>
                <w:bCs/>
                <w:sz w:val="13"/>
                <w:szCs w:val="13"/>
              </w:rPr>
              <w:t xml:space="preserve">Path</w:t>
            </w:r>
          </w:p>
        </w:tc>
      </w:tr>
      <w:tr>
        <w:trPr>
          <w:cantSplit/>
          <w:tblHeader w:val="off"/>
        </w:trPr>
        <w:tc>
          <w:tcPr>
            <w:tcW w:type="dxa" w:w="62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sz w:val="13"/>
                <w:szCs w:val="13"/>
              </w:rPr>
              <w:t xml:space="preserve">Raw</w:t>
            </w:r>
          </w:p>
        </w:tc>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3"/>
                <w:szCs w:val="13"/>
              </w:rPr>
              <w:t xml:space="preserve">none / TCP</w:t>
            </w:r>
          </w:p>
        </w:tc>
        <w:tc>
          <w:tcPr>
            <w:tcW w:type="dxa" w:w="22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3"/>
                <w:szCs w:val="13"/>
              </w:rPr>
              <w:t xml:space="preserve">—</w:t>
            </w:r>
          </w:p>
        </w:tc>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3"/>
                <w:szCs w:val="13"/>
              </w:rPr>
              <w:t xml:space="preserve">kernel</w:t>
            </w:r>
          </w:p>
        </w:tc>
      </w:tr>
      <w:tr>
        <w:trPr>
          <w:cantSplit/>
          <w:tblHeader w:val="off"/>
        </w:trPr>
        <w:tc>
          <w:tcPr>
            <w:tcW w:type="dxa" w:w="62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sz w:val="13"/>
                <w:szCs w:val="13"/>
              </w:rPr>
              <w:t xml:space="preserve">WG</w:t>
            </w:r>
          </w:p>
        </w:tc>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3"/>
                <w:szCs w:val="13"/>
              </w:rPr>
              <w:t xml:space="preserve">L3 / UDP</w:t>
            </w:r>
          </w:p>
        </w:tc>
        <w:tc>
          <w:tcPr>
            <w:tcW w:type="dxa" w:w="22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3"/>
                <w:szCs w:val="13"/>
              </w:rPr>
              <w:t xml:space="preserve">ChaCha20-Poly1305 / Noise IK, X25519</w:t>
            </w:r>
          </w:p>
        </w:tc>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3"/>
                <w:szCs w:val="13"/>
              </w:rPr>
              <w:t xml:space="preserve">user (wg-go)</w:t>
            </w:r>
          </w:p>
        </w:tc>
      </w:tr>
      <w:tr>
        <w:trPr>
          <w:cantSplit/>
          <w:tblHeader w:val="off"/>
        </w:trPr>
        <w:tc>
          <w:tcPr>
            <w:tcW w:type="dxa" w:w="62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sz w:val="13"/>
                <w:szCs w:val="13"/>
              </w:rPr>
              <w:t xml:space="preserve">OV-U</w:t>
            </w:r>
          </w:p>
        </w:tc>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3"/>
                <w:szCs w:val="13"/>
              </w:rPr>
              <w:t xml:space="preserve">L3 / UDP</w:t>
            </w:r>
          </w:p>
        </w:tc>
        <w:tc>
          <w:tcPr>
            <w:tcW w:type="dxa" w:w="22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3"/>
                <w:szCs w:val="13"/>
              </w:rPr>
              <w:t xml:space="preserve">AES-256-GCM / TLS 1.3, RSA-4096</w:t>
            </w:r>
          </w:p>
        </w:tc>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3"/>
                <w:szCs w:val="13"/>
              </w:rPr>
              <w:t xml:space="preserve">user</w:t>
            </w:r>
          </w:p>
        </w:tc>
      </w:tr>
      <w:tr>
        <w:trPr>
          <w:cantSplit/>
          <w:tblHeader w:val="off"/>
        </w:trPr>
        <w:tc>
          <w:tcPr>
            <w:tcW w:type="dxa" w:w="62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sz w:val="13"/>
                <w:szCs w:val="13"/>
              </w:rPr>
              <w:t xml:space="preserve">OV-U-C</w:t>
            </w:r>
          </w:p>
        </w:tc>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3"/>
                <w:szCs w:val="13"/>
              </w:rPr>
              <w:t xml:space="preserve">L3 / UDP</w:t>
            </w:r>
          </w:p>
        </w:tc>
        <w:tc>
          <w:tcPr>
            <w:tcW w:type="dxa" w:w="22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3"/>
                <w:szCs w:val="13"/>
              </w:rPr>
              <w:t xml:space="preserve">ChaCha20-Poly1305 / same</w:t>
            </w:r>
          </w:p>
        </w:tc>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3"/>
                <w:szCs w:val="13"/>
              </w:rPr>
              <w:t xml:space="preserve">user</w:t>
            </w:r>
          </w:p>
        </w:tc>
      </w:tr>
      <w:tr>
        <w:trPr>
          <w:cantSplit/>
          <w:tblHeader w:val="off"/>
        </w:trPr>
        <w:tc>
          <w:tcPr>
            <w:tcW w:type="dxa" w:w="62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sz w:val="13"/>
                <w:szCs w:val="13"/>
              </w:rPr>
              <w:t xml:space="preserve">OV-T</w:t>
            </w:r>
          </w:p>
        </w:tc>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3"/>
                <w:szCs w:val="13"/>
              </w:rPr>
              <w:t xml:space="preserve">L3 / TCP</w:t>
            </w:r>
          </w:p>
        </w:tc>
        <w:tc>
          <w:tcPr>
            <w:tcW w:type="dxa" w:w="22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3"/>
                <w:szCs w:val="13"/>
              </w:rPr>
              <w:t xml:space="preserve">AES-256-GCM / same</w:t>
            </w:r>
          </w:p>
        </w:tc>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3"/>
                <w:szCs w:val="13"/>
              </w:rPr>
              <w:t xml:space="preserve">user</w:t>
            </w:r>
          </w:p>
        </w:tc>
      </w:tr>
      <w:tr>
        <w:trPr>
          <w:cantSplit/>
          <w:tblHeader w:val="off"/>
        </w:trPr>
        <w:tc>
          <w:tcPr>
            <w:tcW w:type="dxa" w:w="62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sz w:val="13"/>
                <w:szCs w:val="13"/>
              </w:rPr>
              <w:t xml:space="preserve">SSH-L</w:t>
            </w:r>
          </w:p>
        </w:tc>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3"/>
                <w:szCs w:val="13"/>
              </w:rPr>
              <w:t xml:space="preserve">L7 / TCP</w:t>
            </w:r>
          </w:p>
        </w:tc>
        <w:tc>
          <w:tcPr>
            <w:tcW w:type="dxa" w:w="22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3"/>
                <w:szCs w:val="13"/>
              </w:rPr>
              <w:t xml:space="preserve">chacha20-poly1305@openssh / Ed25519</w:t>
            </w:r>
          </w:p>
        </w:tc>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3"/>
                <w:szCs w:val="13"/>
              </w:rPr>
              <w:t xml:space="preserve">user</w:t>
            </w:r>
          </w:p>
        </w:tc>
      </w:tr>
      <w:tr>
        <w:trPr>
          <w:cantSplit/>
          <w:tblHeader w:val="off"/>
        </w:trPr>
        <w:tc>
          <w:tcPr>
            <w:tcW w:type="dxa" w:w="62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sz w:val="13"/>
                <w:szCs w:val="13"/>
              </w:rPr>
              <w:t xml:space="preserve">SSH-L-A</w:t>
            </w:r>
          </w:p>
        </w:tc>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3"/>
                <w:szCs w:val="13"/>
              </w:rPr>
              <w:t xml:space="preserve">L7 / TCP</w:t>
            </w:r>
          </w:p>
        </w:tc>
        <w:tc>
          <w:tcPr>
            <w:tcW w:type="dxa" w:w="22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3"/>
                <w:szCs w:val="13"/>
              </w:rPr>
              <w:t xml:space="preserve">aes256-gcm@openssh / Ed25519</w:t>
            </w:r>
          </w:p>
        </w:tc>
        <w:tc>
          <w:tcPr>
            <w:tcW w:type="dxa" w:w="9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3"/>
                <w:szCs w:val="13"/>
              </w:rPr>
              <w:t xml:space="preserve">user</w:t>
            </w:r>
          </w:p>
        </w:tc>
      </w:tr>
      <w:tr>
        <w:trPr>
          <w:cantSplit/>
          <w:tblHeader w:val="off"/>
        </w:trPr>
        <w:tc>
          <w:tcPr>
            <w:tcW w:type="dxa" w:w="620"/>
            <w:tcBorders>
              <w:top w:val="none" w:color="FFFFFF" w:sz="0"/>
              <w:left w:val="none" w:color="FFFFFF" w:sz="0"/>
              <w:bottom w:val="single" w:color="000000" w:sz="6"/>
              <w:right w:val="none" w:color="FFFFFF" w:sz="0"/>
            </w:tcBorders>
            <w:tcMar>
              <w:top w:type="dxa" w:w="15"/>
              <w:left w:type="dxa" w:w="40"/>
              <w:bottom w:type="dxa" w:w="15"/>
              <w:right w:type="dxa" w:w="40"/>
            </w:tcMar>
          </w:tcPr>
          <w:p>
            <w:pPr>
              <w:keepNext w:val="false"/>
              <w:keepLines/>
              <w:spacing w:after="0" w:line="200"/>
              <w:jc w:val="left"/>
            </w:pPr>
            <w:r>
              <w:rPr>
                <w:rFonts w:ascii="Times New Roman" w:cs="Times New Roman" w:eastAsia="Times New Roman" w:hAnsi="Times New Roman"/>
                <w:sz w:val="13"/>
                <w:szCs w:val="13"/>
              </w:rPr>
              <w:t xml:space="preserve">SSH-W</w:t>
            </w:r>
          </w:p>
        </w:tc>
        <w:tc>
          <w:tcPr>
            <w:tcW w:type="dxa" w:w="900"/>
            <w:tcBorders>
              <w:top w:val="none" w:color="FFFFFF" w:sz="0"/>
              <w:left w:val="none" w:color="FFFFFF" w:sz="0"/>
              <w:bottom w:val="single" w:color="000000" w:sz="6"/>
              <w:right w:val="none" w:color="FFFFFF" w:sz="0"/>
            </w:tcBorders>
            <w:tcMar>
              <w:top w:type="dxa" w:w="15"/>
              <w:left w:type="dxa" w:w="40"/>
              <w:bottom w:type="dxa" w:w="15"/>
              <w:right w:type="dxa" w:w="40"/>
            </w:tcMar>
          </w:tcPr>
          <w:p>
            <w:pPr>
              <w:keepNext w:val="false"/>
              <w:keepLines/>
              <w:spacing w:after="0" w:line="200"/>
              <w:jc w:val="center"/>
            </w:pPr>
            <w:r>
              <w:rPr>
                <w:rFonts w:ascii="Times New Roman" w:cs="Times New Roman" w:eastAsia="Times New Roman" w:hAnsi="Times New Roman"/>
                <w:sz w:val="13"/>
                <w:szCs w:val="13"/>
              </w:rPr>
              <w:t xml:space="preserve">L3 / TCP</w:t>
            </w:r>
          </w:p>
        </w:tc>
        <w:tc>
          <w:tcPr>
            <w:tcW w:type="dxa" w:w="2200"/>
            <w:tcBorders>
              <w:top w:val="none" w:color="FFFFFF" w:sz="0"/>
              <w:left w:val="none" w:color="FFFFFF" w:sz="0"/>
              <w:bottom w:val="single" w:color="000000" w:sz="6"/>
              <w:right w:val="none" w:color="FFFFFF" w:sz="0"/>
            </w:tcBorders>
            <w:tcMar>
              <w:top w:type="dxa" w:w="15"/>
              <w:left w:type="dxa" w:w="40"/>
              <w:bottom w:type="dxa" w:w="15"/>
              <w:right w:type="dxa" w:w="40"/>
            </w:tcMar>
          </w:tcPr>
          <w:p>
            <w:pPr>
              <w:keepNext w:val="false"/>
              <w:keepLines/>
              <w:spacing w:after="0" w:line="200"/>
              <w:jc w:val="center"/>
            </w:pPr>
            <w:r>
              <w:rPr>
                <w:rFonts w:ascii="Times New Roman" w:cs="Times New Roman" w:eastAsia="Times New Roman" w:hAnsi="Times New Roman"/>
                <w:sz w:val="13"/>
                <w:szCs w:val="13"/>
              </w:rPr>
              <w:t xml:space="preserve">chacha20-poly1305@openssh / Ed25519</w:t>
            </w:r>
          </w:p>
        </w:tc>
        <w:tc>
          <w:tcPr>
            <w:tcW w:type="dxa" w:w="900"/>
            <w:tcBorders>
              <w:top w:val="none" w:color="FFFFFF" w:sz="0"/>
              <w:left w:val="none" w:color="FFFFFF" w:sz="0"/>
              <w:bottom w:val="single" w:color="000000" w:sz="6"/>
              <w:right w:val="none" w:color="FFFFFF" w:sz="0"/>
            </w:tcBorders>
            <w:tcMar>
              <w:top w:type="dxa" w:w="15"/>
              <w:left w:type="dxa" w:w="40"/>
              <w:bottom w:type="dxa" w:w="15"/>
              <w:right w:type="dxa" w:w="40"/>
            </w:tcMar>
          </w:tcPr>
          <w:p>
            <w:pPr>
              <w:keepNext w:val="false"/>
              <w:keepLines/>
              <w:spacing w:after="0" w:line="200"/>
              <w:jc w:val="center"/>
            </w:pPr>
            <w:r>
              <w:rPr>
                <w:rFonts w:ascii="Times New Roman" w:cs="Times New Roman" w:eastAsia="Times New Roman" w:hAnsi="Times New Roman"/>
                <w:sz w:val="13"/>
                <w:szCs w:val="13"/>
              </w:rPr>
              <w:t xml:space="preserve">user</w:t>
            </w:r>
          </w:p>
        </w:tc>
      </w:tr>
    </w:tbl>
    <w:p>
      <w:pPr>
        <w:keepNext/>
        <w:spacing w:after="20" w:before="40"/>
        <w:jc w:val="center"/>
      </w:pPr>
      <w:r>
        <w:drawing>
          <wp:inline distT="0" distB="0" distL="0" distR="0">
            <wp:extent cx="2924175" cy="18764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24175" cy="1876425"/>
                    </a:xfrm>
                    <a:prstGeom prst="rect">
                      <a:avLst/>
                    </a:prstGeom>
                  </pic:spPr>
                </pic:pic>
              </a:graphicData>
            </a:graphic>
          </wp:inline>
        </w:drawing>
      </w:r>
    </w:p>
    <w:p>
      <w:pPr>
        <w:spacing w:after="90" w:before="20" w:line="216"/>
        <w:jc w:val="both"/>
      </w:pPr>
      <w:r>
        <w:rPr>
          <w:rFonts w:ascii="Times New Roman" w:cs="Times New Roman" w:eastAsia="Times New Roman" w:hAnsi="Times New Roman"/>
          <w:b/>
          <w:bCs/>
          <w:sz w:val="16"/>
          <w:szCs w:val="16"/>
        </w:rPr>
        <w:t xml:space="preserve">Figure 2. </w:t>
      </w:r>
      <w:r>
        <w:rPr>
          <w:rFonts w:ascii="Times New Roman" w:cs="Times New Roman" w:eastAsia="Times New Roman" w:hAnsi="Times New Roman"/>
          <w:sz w:val="16"/>
          <w:szCs w:val="16"/>
        </w:rPr>
        <w:t xml:space="preserve">Protocol stacks as seen on the wire. Green bars mark encrypted content; red frames mark the two configurations in which TCP is carried inside TCP. SSH-L terminates the application’s TCP locally, so only one TCP crosses the network.</w:t>
      </w:r>
    </w:p>
    <w:p>
      <w:pPr>
        <w:spacing w:after="40" w:before="50" w:line="228"/>
        <w:jc w:val="both"/>
      </w:pPr>
      <w:r>
        <w:rPr>
          <w:rFonts w:ascii="Times New Roman" w:cs="Times New Roman" w:eastAsia="Times New Roman" w:hAnsi="Times New Roman"/>
          <w:sz w:val="18"/>
          <w:szCs w:val="18"/>
        </w:rPr>
        <w:t xml:space="preserve">OpenVPN negotiates a TLS 1.3 control channel [18] with </w:t>
      </w:r>
      <w:r>
        <w:rPr>
          <w:rFonts w:ascii="Courier New" w:cs="Courier New" w:eastAsia="Courier New" w:hAnsi="Courier New"/>
          <w:sz w:val="16"/>
          <w:szCs w:val="16"/>
        </w:rPr>
        <w:t xml:space="preserve">tls-crypt</w:t>
      </w:r>
      <w:r>
        <w:rPr>
          <w:rFonts w:ascii="Times New Roman" w:cs="Times New Roman" w:eastAsia="Times New Roman" w:hAnsi="Times New Roman"/>
          <w:sz w:val="18"/>
          <w:szCs w:val="18"/>
        </w:rPr>
        <w:t xml:space="preserve">, </w:t>
      </w:r>
      <w:r>
        <w:rPr>
          <w:rFonts w:ascii="Courier New" w:cs="Courier New" w:eastAsia="Courier New" w:hAnsi="Courier New"/>
          <w:sz w:val="16"/>
          <w:szCs w:val="16"/>
        </w:rPr>
        <w:t xml:space="preserve">--dh none</w:t>
      </w:r>
      <w:r>
        <w:rPr>
          <w:rFonts w:ascii="Times New Roman" w:cs="Times New Roman" w:eastAsia="Times New Roman" w:hAnsi="Times New Roman"/>
          <w:sz w:val="18"/>
          <w:szCs w:val="18"/>
        </w:rPr>
        <w:t xml:space="preserve"> (ECDHE X25519) and its default </w:t>
      </w:r>
      <w:r>
        <w:rPr>
          <w:rFonts w:ascii="Courier New" w:cs="Courier New" w:eastAsia="Courier New" w:hAnsi="Courier New"/>
          <w:sz w:val="16"/>
          <w:szCs w:val="16"/>
        </w:rPr>
        <w:t xml:space="preserve">mssfix</w:t>
      </w:r>
      <w:r>
        <w:rPr>
          <w:rFonts w:ascii="Times New Roman" w:cs="Times New Roman" w:eastAsia="Times New Roman" w:hAnsi="Times New Roman"/>
          <w:sz w:val="18"/>
          <w:szCs w:val="18"/>
        </w:rPr>
        <w:t xml:space="preserve">; the ChaCha20-Poly1305 variants use the AEAD of RFC 8439 [13]; WireGuard uses MTU 1420; SSH disables compression. All keys were generated fresh for the study.</w:t>
      </w:r>
    </w:p>
    <w:p>
      <w:pPr>
        <w:pStyle w:val="Heading2"/>
        <w:keepNext/>
        <w:spacing w:after="30" w:before="80"/>
      </w:pPr>
      <w:r>
        <w:rPr>
          <w:rFonts w:ascii="Times New Roman" w:cs="Times New Roman" w:eastAsia="Times New Roman" w:hAnsi="Times New Roman"/>
          <w:b/>
          <w:bCs/>
          <w:sz w:val="19"/>
          <w:szCs w:val="19"/>
        </w:rPr>
        <w:t xml:space="preserve">3.3 Workloads and Procedure</w:t>
      </w:r>
    </w:p>
    <w:p>
      <w:pPr>
        <w:pStyle w:val="ListParagraph"/>
        <w:numPr>
          <w:ilvl w:val="0"/>
          <w:numId w:val="3"/>
        </w:numPr>
        <w:spacing w:after="20" w:line="228"/>
        <w:jc w:val="both"/>
      </w:pPr>
      <w:r>
        <w:rPr>
          <w:rFonts w:ascii="Times New Roman" w:cs="Times New Roman" w:eastAsia="Times New Roman" w:hAnsi="Times New Roman"/>
          <w:b/>
          <w:bCs/>
          <w:sz w:val="18"/>
          <w:szCs w:val="18"/>
        </w:rPr>
        <w:t xml:space="preserve">Bring-up.</w:t>
      </w:r>
      <w:r>
        <w:rPr>
          <w:rFonts w:ascii="Times New Roman" w:cs="Times New Roman" w:eastAsia="Times New Roman" w:hAnsi="Times New Roman"/>
          <w:sz w:val="18"/>
          <w:szCs w:val="18"/>
        </w:rPr>
        <w:t xml:space="preserve"> Tear down any tunnel, record underlay counters, start the tunnel, and poll a TCP connect every 50 ms until the inner path answers (records setup time and bytes).</w:t>
      </w:r>
    </w:p>
    <w:p>
      <w:pPr>
        <w:pStyle w:val="ListParagraph"/>
        <w:numPr>
          <w:ilvl w:val="0"/>
          <w:numId w:val="3"/>
        </w:numPr>
        <w:spacing w:after="20" w:line="228"/>
        <w:jc w:val="both"/>
      </w:pPr>
      <w:r>
        <w:rPr>
          <w:rFonts w:ascii="Times New Roman" w:cs="Times New Roman" w:eastAsia="Times New Roman" w:hAnsi="Times New Roman"/>
          <w:b/>
          <w:bCs/>
          <w:sz w:val="18"/>
          <w:szCs w:val="18"/>
        </w:rPr>
        <w:t xml:space="preserve">Bulk transfer.</w:t>
      </w:r>
      <w:r>
        <w:rPr>
          <w:rFonts w:ascii="Times New Roman" w:cs="Times New Roman" w:eastAsia="Times New Roman" w:hAnsi="Times New Roman"/>
          <w:sz w:val="18"/>
          <w:szCs w:val="18"/>
        </w:rPr>
        <w:t xml:space="preserve"> iperf3 upload for 20 s after a 2 s warm-up, with one stream (</w:t>
      </w:r>
      <w:r>
        <w:rPr>
          <w:rFonts w:ascii="Courier New" w:cs="Courier New" w:eastAsia="Courier New" w:hAnsi="Courier New"/>
          <w:sz w:val="16"/>
          <w:szCs w:val="16"/>
        </w:rPr>
        <w:t xml:space="preserve">-P 1</w:t>
      </w:r>
      <w:r>
        <w:rPr>
          <w:rFonts w:ascii="Times New Roman" w:cs="Times New Roman" w:eastAsia="Times New Roman" w:hAnsi="Times New Roman"/>
          <w:sz w:val="18"/>
          <w:szCs w:val="18"/>
        </w:rPr>
        <w:t xml:space="preserve">, 5 trials) and four streams (</w:t>
      </w:r>
      <w:r>
        <w:rPr>
          <w:rFonts w:ascii="Courier New" w:cs="Courier New" w:eastAsia="Courier New" w:hAnsi="Courier New"/>
          <w:sz w:val="16"/>
          <w:szCs w:val="16"/>
        </w:rPr>
        <w:t xml:space="preserve">-P 4</w:t>
      </w:r>
      <w:r>
        <w:rPr>
          <w:rFonts w:ascii="Times New Roman" w:cs="Times New Roman" w:eastAsia="Times New Roman" w:hAnsi="Times New Roman"/>
          <w:sz w:val="18"/>
          <w:szCs w:val="18"/>
        </w:rPr>
        <w:t xml:space="preserve">, 3 trials). CPU busy time per vCPU (</w:t>
      </w:r>
      <w:r>
        <w:rPr>
          <w:rFonts w:ascii="Courier New" w:cs="Courier New" w:eastAsia="Courier New" w:hAnsi="Courier New"/>
          <w:sz w:val="16"/>
          <w:szCs w:val="16"/>
        </w:rPr>
        <w:t xml:space="preserve">/proc/stat</w:t>
      </w:r>
      <w:r>
        <w:rPr>
          <w:rFonts w:ascii="Times New Roman" w:cs="Times New Roman" w:eastAsia="Times New Roman" w:hAnsi="Times New Roman"/>
          <w:sz w:val="18"/>
          <w:szCs w:val="18"/>
        </w:rPr>
        <w:t xml:space="preserve">), tunnel-daemon CPU (</w:t>
      </w:r>
      <w:r>
        <w:rPr>
          <w:rFonts w:ascii="Courier New" w:cs="Courier New" w:eastAsia="Courier New" w:hAnsi="Courier New"/>
          <w:sz w:val="16"/>
          <w:szCs w:val="16"/>
        </w:rPr>
        <w:t xml:space="preserve">/proc/&lt;pid&gt;/stat</w:t>
      </w:r>
      <w:r>
        <w:rPr>
          <w:rFonts w:ascii="Times New Roman" w:cs="Times New Roman" w:eastAsia="Times New Roman" w:hAnsi="Times New Roman"/>
          <w:sz w:val="18"/>
          <w:szCs w:val="18"/>
        </w:rPr>
        <w:t xml:space="preserve">), underlay bytes and TCP retransmissions are sampled before and after.</w:t>
      </w:r>
    </w:p>
    <w:p>
      <w:pPr>
        <w:pStyle w:val="ListParagraph"/>
        <w:numPr>
          <w:ilvl w:val="0"/>
          <w:numId w:val="3"/>
        </w:numPr>
        <w:spacing w:after="20" w:line="228"/>
        <w:jc w:val="both"/>
      </w:pPr>
      <w:r>
        <w:rPr>
          <w:rFonts w:ascii="Times New Roman" w:cs="Times New Roman" w:eastAsia="Times New Roman" w:hAnsi="Times New Roman"/>
          <w:b/>
          <w:bCs/>
          <w:sz w:val="18"/>
          <w:szCs w:val="18"/>
        </w:rPr>
        <w:t xml:space="preserve">Request/response.</w:t>
      </w:r>
      <w:r>
        <w:rPr>
          <w:rFonts w:ascii="Times New Roman" w:cs="Times New Roman" w:eastAsia="Times New Roman" w:hAnsi="Times New Roman"/>
          <w:sz w:val="18"/>
          <w:szCs w:val="18"/>
        </w:rPr>
        <w:t xml:space="preserve"> A TCP_RR probe with </w:t>
      </w:r>
      <w:r>
        <w:rPr>
          <w:rFonts w:ascii="Courier New" w:cs="Courier New" w:eastAsia="Courier New" w:hAnsi="Courier New"/>
          <w:sz w:val="16"/>
          <w:szCs w:val="16"/>
        </w:rPr>
        <w:t xml:space="preserve">TCP_NODELAY</w:t>
      </w:r>
      <w:r>
        <w:rPr>
          <w:rFonts w:ascii="Times New Roman" w:cs="Times New Roman" w:eastAsia="Times New Roman" w:hAnsi="Times New Roman"/>
          <w:sz w:val="18"/>
          <w:szCs w:val="18"/>
        </w:rPr>
        <w:t xml:space="preserve"> exchanges 3000 messages of 64 B and of 1024 B and records median and 99th-percentile round-trip time.</w:t>
      </w:r>
    </w:p>
    <w:p>
      <w:pPr>
        <w:pStyle w:val="ListParagraph"/>
        <w:numPr>
          <w:ilvl w:val="0"/>
          <w:numId w:val="3"/>
        </w:numPr>
        <w:spacing w:after="20" w:line="228"/>
        <w:jc w:val="both"/>
      </w:pPr>
      <w:r>
        <w:rPr>
          <w:rFonts w:ascii="Times New Roman" w:cs="Times New Roman" w:eastAsia="Times New Roman" w:hAnsi="Times New Roman"/>
          <w:b/>
          <w:bCs/>
          <w:sz w:val="18"/>
          <w:szCs w:val="18"/>
        </w:rPr>
        <w:t xml:space="preserve">Loss sweep.</w:t>
      </w:r>
      <w:r>
        <w:rPr>
          <w:rFonts w:ascii="Times New Roman" w:cs="Times New Roman" w:eastAsia="Times New Roman" w:hAnsi="Times New Roman"/>
          <w:sz w:val="18"/>
          <w:szCs w:val="18"/>
        </w:rPr>
        <w:t xml:space="preserve"> On the impaired link (100 Mbit/s, 20 ms RTT) each tunnel is measured at p ∈ {0, 0.1, 0.5, 1, 2, 5}% with three trials and a fresh random seed per trial; the default congestion control is CUBIC, with a BBR ablation at 1% and 5%.</w:t>
      </w:r>
    </w:p>
    <w:p>
      <w:pPr>
        <w:pStyle w:val="ListParagraph"/>
        <w:numPr>
          <w:ilvl w:val="0"/>
          <w:numId w:val="3"/>
        </w:numPr>
        <w:spacing w:after="20" w:line="228"/>
        <w:jc w:val="both"/>
      </w:pPr>
      <w:r>
        <w:rPr>
          <w:rFonts w:ascii="Times New Roman" w:cs="Times New Roman" w:eastAsia="Times New Roman" w:hAnsi="Times New Roman"/>
          <w:b/>
          <w:bCs/>
          <w:sz w:val="18"/>
          <w:szCs w:val="18"/>
        </w:rPr>
        <w:t xml:space="preserve">Security probes.</w:t>
      </w:r>
      <w:r>
        <w:rPr>
          <w:rFonts w:ascii="Times New Roman" w:cs="Times New Roman" w:eastAsia="Times New Roman" w:hAnsi="Times New Roman"/>
          <w:sz w:val="18"/>
          <w:szCs w:val="18"/>
        </w:rPr>
        <w:t xml:space="preserve"> From </w:t>
      </w:r>
      <w:r>
        <w:rPr>
          <w:rFonts w:ascii="Courier New" w:cs="Courier New" w:eastAsia="Courier New" w:hAnsi="Courier New"/>
          <w:sz w:val="16"/>
          <w:szCs w:val="16"/>
        </w:rPr>
        <w:t xml:space="preserve">rtr</w:t>
      </w:r>
      <w:r>
        <w:rPr>
          <w:rFonts w:ascii="Times New Roman" w:cs="Times New Roman" w:eastAsia="Times New Roman" w:hAnsi="Times New Roman"/>
          <w:sz w:val="18"/>
          <w:szCs w:val="18"/>
        </w:rPr>
        <w:t xml:space="preserve"> (an on-path attacker without keys) we send random and protocol-shaped datagrams/segments to each listener and record whether anything is returned; we also log negotiated suites and count source lines (SLOC) of each implementation.</w:t>
      </w:r>
    </w:p>
    <w:p>
      <w:pPr>
        <w:pStyle w:val="Heading2"/>
        <w:keepNext/>
        <w:spacing w:after="30" w:before="80"/>
      </w:pPr>
      <w:r>
        <w:rPr>
          <w:rFonts w:ascii="Times New Roman" w:cs="Times New Roman" w:eastAsia="Times New Roman" w:hAnsi="Times New Roman"/>
          <w:b/>
          <w:bCs/>
          <w:sz w:val="19"/>
          <w:szCs w:val="19"/>
        </w:rPr>
        <w:t xml:space="preserve">3.4 Threat Model for the Security Analysis</w:t>
      </w:r>
    </w:p>
    <w:p>
      <w:pPr>
        <w:spacing w:after="40" w:before="0" w:line="228"/>
        <w:jc w:val="both"/>
      </w:pPr>
      <w:r>
        <w:rPr>
          <w:rFonts w:ascii="Times New Roman" w:cs="Times New Roman" w:eastAsia="Times New Roman" w:hAnsi="Times New Roman"/>
          <w:sz w:val="18"/>
          <w:szCs w:val="18"/>
        </w:rPr>
        <w:t xml:space="preserve">The adversary sits on the path between client and server (the </w:t>
      </w:r>
      <w:r>
        <w:rPr>
          <w:rFonts w:ascii="Courier New" w:cs="Courier New" w:eastAsia="Courier New" w:hAnsi="Courier New"/>
          <w:sz w:val="16"/>
          <w:szCs w:val="16"/>
        </w:rPr>
        <w:t xml:space="preserve">rtr</w:t>
      </w:r>
      <w:r>
        <w:rPr>
          <w:rFonts w:ascii="Times New Roman" w:cs="Times New Roman" w:eastAsia="Times New Roman" w:hAnsi="Times New Roman"/>
          <w:sz w:val="18"/>
          <w:szCs w:val="18"/>
        </w:rPr>
        <w:t xml:space="preserve"> namespace). It can observe, drop, inject and replay packets and can open connections to any listening port, but it holds no keys and cannot compromise endpoints. Its goals are to (a) detect and identify the tunnel service, (b) elicit responses or computation before authentication, and (c) exploit known protocol weaknesses. Cryptanalysis of primitives and endpoint compromise are out of scope; for those we rely on the published analyses cited in Section 4.4.</w:t>
      </w:r>
    </w:p>
    <w:p>
      <w:pPr>
        <w:pStyle w:val="Heading2"/>
        <w:keepNext/>
        <w:spacing w:after="30" w:before="80"/>
      </w:pPr>
      <w:r>
        <w:rPr>
          <w:rFonts w:ascii="Times New Roman" w:cs="Times New Roman" w:eastAsia="Times New Roman" w:hAnsi="Times New Roman"/>
          <w:b/>
          <w:bCs/>
          <w:sz w:val="19"/>
          <w:szCs w:val="19"/>
        </w:rPr>
        <w:t xml:space="preserve">3.5 Statistical Treatment</w:t>
      </w:r>
    </w:p>
    <w:p>
      <w:pPr>
        <w:spacing w:after="40" w:before="0" w:line="228"/>
        <w:jc w:val="both"/>
      </w:pPr>
      <w:r>
        <w:rPr>
          <w:rFonts w:ascii="Times New Roman" w:cs="Times New Roman" w:eastAsia="Times New Roman" w:hAnsi="Times New Roman"/>
          <w:sz w:val="18"/>
          <w:szCs w:val="18"/>
        </w:rPr>
        <w:t xml:space="preserve">Configurations run in a randomized order within each trial to spread slow drift (thermal, noisy neighbours) across all tunnels; each loss trial uses a fresh random seed. Every trial is stored as one JSON record. For n trials with mean x̄ and standard deviation s we report x̄ ± t</w:t>
      </w:r>
      <w:r>
        <w:rPr>
          <w:rFonts w:ascii="Times New Roman" w:cs="Times New Roman" w:eastAsia="Times New Roman" w:hAnsi="Times New Roman"/>
          <w:sz w:val="18"/>
          <w:szCs w:val="18"/>
          <w:vertAlign w:val="subscript"/>
        </w:rPr>
        <w:t xml:space="preserve">0.975, n−1</w:t>
      </w:r>
      <w:r>
        <w:rPr>
          <w:rFonts w:ascii="Times New Roman" w:cs="Times New Roman" w:eastAsia="Times New Roman" w:hAnsi="Times New Roman"/>
          <w:sz w:val="18"/>
          <w:szCs w:val="18"/>
        </w:rPr>
        <w:t xml:space="preserve"> · s/√n (95% Student-t interval) and call two configurations different only when their intervals do not overlap.</w:t>
      </w:r>
    </w:p>
    <w:p>
      <w:pPr>
        <w:pStyle w:val="Heading1"/>
        <w:keepNext/>
        <w:spacing w:after="50" w:before="120"/>
      </w:pPr>
      <w:r>
        <w:rPr>
          <w:rFonts w:ascii="Times New Roman" w:cs="Times New Roman" w:eastAsia="Times New Roman" w:hAnsi="Times New Roman"/>
          <w:b/>
          <w:bCs/>
          <w:sz w:val="20"/>
          <w:szCs w:val="20"/>
        </w:rPr>
        <w:t xml:space="preserve">4 EVALUATION &amp; RESULTS</w:t>
      </w:r>
    </w:p>
    <w:p>
      <w:pPr>
        <w:pStyle w:val="Heading2"/>
        <w:keepNext/>
        <w:spacing w:after="30" w:before="80"/>
      </w:pPr>
      <w:r>
        <w:rPr>
          <w:rFonts w:ascii="Times New Roman" w:cs="Times New Roman" w:eastAsia="Times New Roman" w:hAnsi="Times New Roman"/>
          <w:b/>
          <w:bCs/>
          <w:sz w:val="19"/>
          <w:szCs w:val="19"/>
        </w:rPr>
        <w:t xml:space="preserve">4.1 Metrics</w:t>
      </w:r>
    </w:p>
    <w:p>
      <w:pPr>
        <w:spacing w:after="30" w:before="0" w:line="228"/>
        <w:jc w:val="both"/>
      </w:pPr>
      <w:r>
        <w:rPr>
          <w:rFonts w:ascii="Times New Roman" w:cs="Times New Roman" w:eastAsia="Times New Roman" w:hAnsi="Times New Roman"/>
          <w:sz w:val="18"/>
          <w:szCs w:val="18"/>
        </w:rPr>
        <w:t xml:space="preserve">Each metric is computed per trial and then averaged; notation: B</w:t>
      </w:r>
      <w:r>
        <w:rPr>
          <w:rFonts w:ascii="Times New Roman" w:cs="Times New Roman" w:eastAsia="Times New Roman" w:hAnsi="Times New Roman"/>
          <w:sz w:val="18"/>
          <w:szCs w:val="18"/>
          <w:vertAlign w:val="subscript"/>
        </w:rPr>
        <w:t xml:space="preserve">rx</w:t>
      </w:r>
      <w:r>
        <w:rPr>
          <w:rFonts w:ascii="Times New Roman" w:cs="Times New Roman" w:eastAsia="Times New Roman" w:hAnsi="Times New Roman"/>
          <w:sz w:val="18"/>
          <w:szCs w:val="18"/>
        </w:rPr>
        <w:t xml:space="preserve"> bytes received by the application in t</w:t>
      </w:r>
      <w:r>
        <w:rPr>
          <w:rFonts w:ascii="Times New Roman" w:cs="Times New Roman" w:eastAsia="Times New Roman" w:hAnsi="Times New Roman"/>
          <w:sz w:val="18"/>
          <w:szCs w:val="18"/>
          <w:vertAlign w:val="subscript"/>
        </w:rPr>
        <w:t xml:space="preserve">m</w:t>
      </w:r>
      <w:r>
        <w:rPr>
          <w:rFonts w:ascii="Times New Roman" w:cs="Times New Roman" w:eastAsia="Times New Roman" w:hAnsi="Times New Roman"/>
          <w:sz w:val="18"/>
          <w:szCs w:val="18"/>
        </w:rPr>
        <w:t xml:space="preserve"> measured seconds, B</w:t>
      </w:r>
      <w:r>
        <w:rPr>
          <w:rFonts w:ascii="Times New Roman" w:cs="Times New Roman" w:eastAsia="Times New Roman" w:hAnsi="Times New Roman"/>
          <w:sz w:val="18"/>
          <w:szCs w:val="18"/>
          <w:vertAlign w:val="subscript"/>
        </w:rPr>
        <w:t xml:space="preserve">wire</w:t>
      </w:r>
      <w:r>
        <w:rPr>
          <w:rFonts w:ascii="Times New Roman" w:cs="Times New Roman" w:eastAsia="Times New Roman" w:hAnsi="Times New Roman"/>
          <w:sz w:val="18"/>
          <w:szCs w:val="18"/>
        </w:rPr>
        <w:t xml:space="preserve"> bytes sent on the client’s underlay interface in wall time t</w:t>
      </w:r>
      <w:r>
        <w:rPr>
          <w:rFonts w:ascii="Times New Roman" w:cs="Times New Roman" w:eastAsia="Times New Roman" w:hAnsi="Times New Roman"/>
          <w:sz w:val="18"/>
          <w:szCs w:val="18"/>
          <w:vertAlign w:val="subscript"/>
        </w:rPr>
        <w:t xml:space="preserve">w</w:t>
      </w:r>
      <w:r>
        <w:rPr>
          <w:rFonts w:ascii="Times New Roman" w:cs="Times New Roman" w:eastAsia="Times New Roman" w:hAnsi="Times New Roman"/>
          <w:sz w:val="18"/>
          <w:szCs w:val="18"/>
        </w:rPr>
        <w:t xml:space="preserve">, U</w:t>
      </w:r>
      <w:r>
        <w:rPr>
          <w:rFonts w:ascii="Times New Roman" w:cs="Times New Roman" w:eastAsia="Times New Roman" w:hAnsi="Times New Roman"/>
          <w:sz w:val="18"/>
          <w:szCs w:val="18"/>
          <w:vertAlign w:val="subscript"/>
        </w:rPr>
        <w:t xml:space="preserve">0</w:t>
      </w:r>
      <w:r>
        <w:rPr>
          <w:rFonts w:ascii="Times New Roman" w:cs="Times New Roman" w:eastAsia="Times New Roman" w:hAnsi="Times New Roman"/>
          <w:sz w:val="18"/>
          <w:szCs w:val="18"/>
        </w:rPr>
        <w:t xml:space="preserve">, U</w:t>
      </w:r>
      <w:r>
        <w:rPr>
          <w:rFonts w:ascii="Times New Roman" w:cs="Times New Roman" w:eastAsia="Times New Roman" w:hAnsi="Times New Roman"/>
          <w:sz w:val="18"/>
          <w:szCs w:val="18"/>
          <w:vertAlign w:val="subscript"/>
        </w:rPr>
        <w:t xml:space="preserve">1</w:t>
      </w:r>
      <w:r>
        <w:rPr>
          <w:rFonts w:ascii="Times New Roman" w:cs="Times New Roman" w:eastAsia="Times New Roman" w:hAnsi="Times New Roman"/>
          <w:sz w:val="18"/>
          <w:szCs w:val="18"/>
        </w:rPr>
        <w:t xml:space="preserve"> the busy percentage of vCPU 0 and 1.</w:t>
      </w:r>
    </w:p>
    <w:p>
      <w:pPr>
        <w:pStyle w:val="ListParagraph"/>
        <w:numPr>
          <w:ilvl w:val="0"/>
          <w:numId w:val="4"/>
        </w:numPr>
        <w:spacing w:after="20" w:line="228"/>
        <w:jc w:val="both"/>
      </w:pPr>
      <w:r>
        <w:rPr>
          <w:rFonts w:ascii="Times New Roman" w:cs="Times New Roman" w:eastAsia="Times New Roman" w:hAnsi="Times New Roman"/>
          <w:b/>
          <w:bCs/>
          <w:sz w:val="18"/>
          <w:szCs w:val="18"/>
        </w:rPr>
        <w:t xml:space="preserve">Sustained throughput (M1).</w:t>
      </w:r>
      <w:r>
        <w:rPr>
          <w:rFonts w:ascii="Times New Roman" w:cs="Times New Roman" w:eastAsia="Times New Roman" w:hAnsi="Times New Roman"/>
          <w:sz w:val="18"/>
          <w:szCs w:val="18"/>
        </w:rPr>
        <w:t xml:space="preserve"> Application-level goodput reported by the iperf3 receiver after warm-up. It is the quantity users experience.</w:t>
      </w:r>
    </w:p>
    <w:p>
      <w:pPr>
        <w:tabs>
          <w:tab w:val="right" w:pos="4800"/>
        </w:tabs>
        <w:spacing w:after="40" w:before="30"/>
        <w:jc w:val="center"/>
      </w:pPr>
      <w:r>
        <w:rPr>
          <w:rFonts w:ascii="Times New Roman" w:cs="Times New Roman" w:eastAsia="Times New Roman" w:hAnsi="Times New Roman"/>
          <w:i w:val="false"/>
          <w:iCs w:val="false"/>
          <w:sz w:val="18"/>
          <w:szCs w:val="18"/>
        </w:rPr>
        <w:t xml:space="preserve">T = 8 · B</w:t>
      </w:r>
      <w:r>
        <w:rPr>
          <w:rFonts w:ascii="Times New Roman" w:cs="Times New Roman" w:eastAsia="Times New Roman" w:hAnsi="Times New Roman"/>
          <w:i w:val="false"/>
          <w:iCs w:val="false"/>
          <w:sz w:val="18"/>
          <w:szCs w:val="18"/>
          <w:vertAlign w:val="subscript"/>
        </w:rPr>
        <w:t xml:space="preserve">rx</w:t>
      </w:r>
      <w:r>
        <w:rPr>
          <w:rFonts w:ascii="Times New Roman" w:cs="Times New Roman" w:eastAsia="Times New Roman" w:hAnsi="Times New Roman"/>
          <w:i w:val="false"/>
          <w:iCs w:val="false"/>
          <w:sz w:val="18"/>
          <w:szCs w:val="18"/>
        </w:rPr>
        <w:t xml:space="preserve"> / t</w:t>
      </w:r>
      <w:r>
        <w:rPr>
          <w:rFonts w:ascii="Times New Roman" w:cs="Times New Roman" w:eastAsia="Times New Roman" w:hAnsi="Times New Roman"/>
          <w:i w:val="false"/>
          <w:iCs w:val="false"/>
          <w:sz w:val="18"/>
          <w:szCs w:val="18"/>
          <w:vertAlign w:val="subscript"/>
        </w:rPr>
        <w:t xml:space="preserve">m</w:t>
      </w:r>
      <w:r>
        <w:rPr>
          <w:rFonts w:ascii="Times New Roman" w:cs="Times New Roman" w:eastAsia="Times New Roman" w:hAnsi="Times New Roman"/>
          <w:i w:val="false"/>
          <w:iCs w:val="false"/>
          <w:sz w:val="18"/>
          <w:szCs w:val="18"/>
        </w:rPr>
        <w:t xml:space="preserve">   [Mbit/s]</w:t>
      </w:r>
      <w:r>
        <w:rPr>
          <w:rFonts w:ascii="Times New Roman" w:cs="Times New Roman" w:eastAsia="Times New Roman" w:hAnsi="Times New Roman"/>
          <w:sz w:val="18"/>
          <w:szCs w:val="18"/>
        </w:rPr>
        <w:t xml:space="preserve">	(1)</w:t>
      </w:r>
    </w:p>
    <w:p>
      <w:pPr>
        <w:pStyle w:val="ListParagraph"/>
        <w:numPr>
          <w:ilvl w:val="0"/>
          <w:numId w:val="4"/>
        </w:numPr>
        <w:spacing w:after="20" w:line="228"/>
        <w:jc w:val="both"/>
      </w:pPr>
      <w:r>
        <w:rPr>
          <w:rFonts w:ascii="Times New Roman" w:cs="Times New Roman" w:eastAsia="Times New Roman" w:hAnsi="Times New Roman"/>
          <w:b/>
          <w:bCs/>
          <w:sz w:val="18"/>
          <w:szCs w:val="18"/>
        </w:rPr>
        <w:t xml:space="preserve">Latency overhead (M2).</w:t>
      </w:r>
      <w:r>
        <w:rPr>
          <w:rFonts w:ascii="Times New Roman" w:cs="Times New Roman" w:eastAsia="Times New Roman" w:hAnsi="Times New Roman"/>
          <w:sz w:val="18"/>
          <w:szCs w:val="18"/>
        </w:rPr>
        <w:t xml:space="preserve"> Extra median request/response time over the raw path for a message of size s. Medians resist scheduling outliers; we also report the 99th percentile.</w:t>
      </w:r>
    </w:p>
    <w:p>
      <w:pPr>
        <w:tabs>
          <w:tab w:val="right" w:pos="4800"/>
        </w:tabs>
        <w:spacing w:after="40" w:before="30"/>
        <w:jc w:val="center"/>
      </w:pPr>
      <w:r>
        <w:rPr>
          <w:rFonts w:ascii="Times New Roman" w:cs="Times New Roman" w:eastAsia="Times New Roman" w:hAnsi="Times New Roman"/>
          <w:i w:val="false"/>
          <w:iCs w:val="false"/>
          <w:sz w:val="18"/>
          <w:szCs w:val="18"/>
        </w:rPr>
        <w:t xml:space="preserve">ΔRTT(s) = RTT</w:t>
      </w:r>
      <w:r>
        <w:rPr>
          <w:rFonts w:ascii="Times New Roman" w:cs="Times New Roman" w:eastAsia="Times New Roman" w:hAnsi="Times New Roman"/>
          <w:i w:val="false"/>
          <w:iCs w:val="false"/>
          <w:sz w:val="18"/>
          <w:szCs w:val="18"/>
          <w:vertAlign w:val="subscript"/>
        </w:rPr>
        <w:t xml:space="preserve">cfg</w:t>
      </w:r>
      <w:r>
        <w:rPr>
          <w:rFonts w:ascii="Times New Roman" w:cs="Times New Roman" w:eastAsia="Times New Roman" w:hAnsi="Times New Roman"/>
          <w:i w:val="false"/>
          <w:iCs w:val="false"/>
          <w:sz w:val="18"/>
          <w:szCs w:val="18"/>
        </w:rPr>
        <w:t xml:space="preserve">(s) − RTT</w:t>
      </w:r>
      <w:r>
        <w:rPr>
          <w:rFonts w:ascii="Times New Roman" w:cs="Times New Roman" w:eastAsia="Times New Roman" w:hAnsi="Times New Roman"/>
          <w:i w:val="false"/>
          <w:iCs w:val="false"/>
          <w:sz w:val="18"/>
          <w:szCs w:val="18"/>
          <w:vertAlign w:val="subscript"/>
        </w:rPr>
        <w:t xml:space="preserve">raw</w:t>
      </w:r>
      <w:r>
        <w:rPr>
          <w:rFonts w:ascii="Times New Roman" w:cs="Times New Roman" w:eastAsia="Times New Roman" w:hAnsi="Times New Roman"/>
          <w:i w:val="false"/>
          <w:iCs w:val="false"/>
          <w:sz w:val="18"/>
          <w:szCs w:val="18"/>
        </w:rPr>
        <w:t xml:space="preserve">(s)   [µs]</w:t>
      </w:r>
      <w:r>
        <w:rPr>
          <w:rFonts w:ascii="Times New Roman" w:cs="Times New Roman" w:eastAsia="Times New Roman" w:hAnsi="Times New Roman"/>
          <w:sz w:val="18"/>
          <w:szCs w:val="18"/>
        </w:rPr>
        <w:t xml:space="preserve">	(2)</w:t>
      </w:r>
    </w:p>
    <w:p>
      <w:pPr>
        <w:pStyle w:val="ListParagraph"/>
        <w:numPr>
          <w:ilvl w:val="0"/>
          <w:numId w:val="4"/>
        </w:numPr>
        <w:spacing w:after="20" w:line="228"/>
        <w:jc w:val="both"/>
      </w:pPr>
      <w:r>
        <w:rPr>
          <w:rFonts w:ascii="Times New Roman" w:cs="Times New Roman" w:eastAsia="Times New Roman" w:hAnsi="Times New Roman"/>
          <w:b/>
          <w:bCs/>
          <w:sz w:val="18"/>
          <w:szCs w:val="18"/>
        </w:rPr>
        <w:t xml:space="preserve">CPU efficiency (M3).</w:t>
      </w:r>
      <w:r>
        <w:rPr>
          <w:rFonts w:ascii="Times New Roman" w:cs="Times New Roman" w:eastAsia="Times New Roman" w:hAnsi="Times New Roman"/>
          <w:sz w:val="18"/>
          <w:szCs w:val="18"/>
        </w:rPr>
        <w:t xml:space="preserve"> Throughput per percent of one vCPU, counting both endpoints (0–200%). It captures user and kernel work, so kernel-heavy and daemon-heavy designs are judged on the same scale.</w:t>
      </w:r>
    </w:p>
    <w:p>
      <w:pPr>
        <w:tabs>
          <w:tab w:val="right" w:pos="4800"/>
        </w:tabs>
        <w:spacing w:after="40" w:before="30"/>
        <w:jc w:val="center"/>
      </w:pPr>
      <w:r>
        <w:rPr>
          <w:rFonts w:ascii="Times New Roman" w:cs="Times New Roman" w:eastAsia="Times New Roman" w:hAnsi="Times New Roman"/>
          <w:i w:val="false"/>
          <w:iCs w:val="false"/>
          <w:sz w:val="18"/>
          <w:szCs w:val="18"/>
        </w:rPr>
        <w:t xml:space="preserve">E = T / (U</w:t>
      </w:r>
      <w:r>
        <w:rPr>
          <w:rFonts w:ascii="Times New Roman" w:cs="Times New Roman" w:eastAsia="Times New Roman" w:hAnsi="Times New Roman"/>
          <w:i w:val="false"/>
          <w:iCs w:val="false"/>
          <w:sz w:val="18"/>
          <w:szCs w:val="18"/>
          <w:vertAlign w:val="subscript"/>
        </w:rPr>
        <w:t xml:space="preserve">0</w:t>
      </w:r>
      <w:r>
        <w:rPr>
          <w:rFonts w:ascii="Times New Roman" w:cs="Times New Roman" w:eastAsia="Times New Roman" w:hAnsi="Times New Roman"/>
          <w:i w:val="false"/>
          <w:iCs w:val="false"/>
          <w:sz w:val="18"/>
          <w:szCs w:val="18"/>
        </w:rPr>
        <w:t xml:space="preserve"> + U</w:t>
      </w:r>
      <w:r>
        <w:rPr>
          <w:rFonts w:ascii="Times New Roman" w:cs="Times New Roman" w:eastAsia="Times New Roman" w:hAnsi="Times New Roman"/>
          <w:i w:val="false"/>
          <w:iCs w:val="false"/>
          <w:sz w:val="18"/>
          <w:szCs w:val="18"/>
          <w:vertAlign w:val="subscript"/>
        </w:rPr>
        <w:t xml:space="preserve">1</w:t>
      </w:r>
      <w:r>
        <w:rPr>
          <w:rFonts w:ascii="Times New Roman" w:cs="Times New Roman" w:eastAsia="Times New Roman" w:hAnsi="Times New Roman"/>
          <w:i w:val="false"/>
          <w:iCs w:val="false"/>
          <w:sz w:val="18"/>
          <w:szCs w:val="18"/>
        </w:rPr>
        <w:t xml:space="preserve">)   [Mbit/s per vCPU-%]</w:t>
      </w:r>
      <w:r>
        <w:rPr>
          <w:rFonts w:ascii="Times New Roman" w:cs="Times New Roman" w:eastAsia="Times New Roman" w:hAnsi="Times New Roman"/>
          <w:sz w:val="18"/>
          <w:szCs w:val="18"/>
        </w:rPr>
        <w:t xml:space="preserve">	(3)</w:t>
      </w:r>
    </w:p>
    <w:p>
      <w:pPr>
        <w:pStyle w:val="ListParagraph"/>
        <w:numPr>
          <w:ilvl w:val="0"/>
          <w:numId w:val="4"/>
        </w:numPr>
        <w:spacing w:after="20" w:line="228"/>
        <w:jc w:val="both"/>
      </w:pPr>
      <w:r>
        <w:rPr>
          <w:rFonts w:ascii="Times New Roman" w:cs="Times New Roman" w:eastAsia="Times New Roman" w:hAnsi="Times New Roman"/>
          <w:b/>
          <w:bCs/>
          <w:sz w:val="18"/>
          <w:szCs w:val="18"/>
        </w:rPr>
        <w:t xml:space="preserve">Goodput ratio (M4).</w:t>
      </w:r>
      <w:r>
        <w:rPr>
          <w:rFonts w:ascii="Times New Roman" w:cs="Times New Roman" w:eastAsia="Times New Roman" w:hAnsi="Times New Roman"/>
          <w:sz w:val="18"/>
          <w:szCs w:val="18"/>
        </w:rPr>
        <w:t xml:space="preserve"> Share of bytes on the wire that is useful payload; it measures encapsulation and header overhead including Ethernet framing.</w:t>
      </w:r>
    </w:p>
    <w:p>
      <w:pPr>
        <w:tabs>
          <w:tab w:val="right" w:pos="4800"/>
        </w:tabs>
        <w:spacing w:after="40" w:before="30"/>
        <w:jc w:val="center"/>
      </w:pPr>
      <w:r>
        <w:rPr>
          <w:rFonts w:ascii="Times New Roman" w:cs="Times New Roman" w:eastAsia="Times New Roman" w:hAnsi="Times New Roman"/>
          <w:i w:val="false"/>
          <w:iCs w:val="false"/>
          <w:sz w:val="18"/>
          <w:szCs w:val="18"/>
        </w:rPr>
        <w:t xml:space="preserve">G = (B</w:t>
      </w:r>
      <w:r>
        <w:rPr>
          <w:rFonts w:ascii="Times New Roman" w:cs="Times New Roman" w:eastAsia="Times New Roman" w:hAnsi="Times New Roman"/>
          <w:i w:val="false"/>
          <w:iCs w:val="false"/>
          <w:sz w:val="18"/>
          <w:szCs w:val="18"/>
          <w:vertAlign w:val="subscript"/>
        </w:rPr>
        <w:t xml:space="preserve">rx</w:t>
      </w:r>
      <w:r>
        <w:rPr>
          <w:rFonts w:ascii="Times New Roman" w:cs="Times New Roman" w:eastAsia="Times New Roman" w:hAnsi="Times New Roman"/>
          <w:i w:val="false"/>
          <w:iCs w:val="false"/>
          <w:sz w:val="18"/>
          <w:szCs w:val="18"/>
        </w:rPr>
        <w:t xml:space="preserve">/t</w:t>
      </w:r>
      <w:r>
        <w:rPr>
          <w:rFonts w:ascii="Times New Roman" w:cs="Times New Roman" w:eastAsia="Times New Roman" w:hAnsi="Times New Roman"/>
          <w:i w:val="false"/>
          <w:iCs w:val="false"/>
          <w:sz w:val="18"/>
          <w:szCs w:val="18"/>
          <w:vertAlign w:val="subscript"/>
        </w:rPr>
        <w:t xml:space="preserve">m</w:t>
      </w:r>
      <w:r>
        <w:rPr>
          <w:rFonts w:ascii="Times New Roman" w:cs="Times New Roman" w:eastAsia="Times New Roman" w:hAnsi="Times New Roman"/>
          <w:i w:val="false"/>
          <w:iCs w:val="false"/>
          <w:sz w:val="18"/>
          <w:szCs w:val="18"/>
        </w:rPr>
        <w:t xml:space="preserve">) / (B</w:t>
      </w:r>
      <w:r>
        <w:rPr>
          <w:rFonts w:ascii="Times New Roman" w:cs="Times New Roman" w:eastAsia="Times New Roman" w:hAnsi="Times New Roman"/>
          <w:i w:val="false"/>
          <w:iCs w:val="false"/>
          <w:sz w:val="18"/>
          <w:szCs w:val="18"/>
          <w:vertAlign w:val="subscript"/>
        </w:rPr>
        <w:t xml:space="preserve">wire</w:t>
      </w:r>
      <w:r>
        <w:rPr>
          <w:rFonts w:ascii="Times New Roman" w:cs="Times New Roman" w:eastAsia="Times New Roman" w:hAnsi="Times New Roman"/>
          <w:i w:val="false"/>
          <w:iCs w:val="false"/>
          <w:sz w:val="18"/>
          <w:szCs w:val="18"/>
        </w:rPr>
        <w:t xml:space="preserve">/t</w:t>
      </w:r>
      <w:r>
        <w:rPr>
          <w:rFonts w:ascii="Times New Roman" w:cs="Times New Roman" w:eastAsia="Times New Roman" w:hAnsi="Times New Roman"/>
          <w:i w:val="false"/>
          <w:iCs w:val="false"/>
          <w:sz w:val="18"/>
          <w:szCs w:val="18"/>
          <w:vertAlign w:val="subscript"/>
        </w:rPr>
        <w:t xml:space="preserve">w</w:t>
      </w:r>
      <w:r>
        <w:rPr>
          <w:rFonts w:ascii="Times New Roman" w:cs="Times New Roman" w:eastAsia="Times New Roman" w:hAnsi="Times New Roman"/>
          <w:i w:val="false"/>
          <w:iCs w:val="false"/>
          <w:sz w:val="18"/>
          <w:szCs w:val="18"/>
        </w:rPr>
        <w:t xml:space="preserve">) × 100   [%]</w:t>
      </w:r>
      <w:r>
        <w:rPr>
          <w:rFonts w:ascii="Times New Roman" w:cs="Times New Roman" w:eastAsia="Times New Roman" w:hAnsi="Times New Roman"/>
          <w:sz w:val="18"/>
          <w:szCs w:val="18"/>
        </w:rPr>
        <w:t xml:space="preserve">	(4)</w:t>
      </w:r>
    </w:p>
    <w:p>
      <w:pPr>
        <w:pStyle w:val="ListParagraph"/>
        <w:numPr>
          <w:ilvl w:val="0"/>
          <w:numId w:val="4"/>
        </w:numPr>
        <w:spacing w:after="20" w:line="228"/>
        <w:jc w:val="both"/>
      </w:pPr>
      <w:r>
        <w:rPr>
          <w:rFonts w:ascii="Times New Roman" w:cs="Times New Roman" w:eastAsia="Times New Roman" w:hAnsi="Times New Roman"/>
          <w:b/>
          <w:bCs/>
          <w:sz w:val="18"/>
          <w:szCs w:val="18"/>
        </w:rPr>
        <w:t xml:space="preserve">Loss retention (M5).</w:t>
      </w:r>
      <w:r>
        <w:rPr>
          <w:rFonts w:ascii="Times New Roman" w:cs="Times New Roman" w:eastAsia="Times New Roman" w:hAnsi="Times New Roman"/>
          <w:sz w:val="18"/>
          <w:szCs w:val="18"/>
        </w:rPr>
        <w:t xml:space="preserve"> Throughput at loss p relative to plain TCP at the same p, which isolates the tunnel’s own effect from TCP’s 1/√p law [12]; R ≈ 1 means no extra penalty, R ≪ 1 indicates collapse.</w:t>
      </w:r>
    </w:p>
    <w:p>
      <w:pPr>
        <w:tabs>
          <w:tab w:val="right" w:pos="4800"/>
        </w:tabs>
        <w:spacing w:after="40" w:before="30"/>
        <w:jc w:val="center"/>
      </w:pPr>
      <w:r>
        <w:rPr>
          <w:rFonts w:ascii="Times New Roman" w:cs="Times New Roman" w:eastAsia="Times New Roman" w:hAnsi="Times New Roman"/>
          <w:i w:val="false"/>
          <w:iCs w:val="false"/>
          <w:sz w:val="18"/>
          <w:szCs w:val="18"/>
        </w:rPr>
        <w:t xml:space="preserve">R(p) = T</w:t>
      </w:r>
      <w:r>
        <w:rPr>
          <w:rFonts w:ascii="Times New Roman" w:cs="Times New Roman" w:eastAsia="Times New Roman" w:hAnsi="Times New Roman"/>
          <w:i w:val="false"/>
          <w:iCs w:val="false"/>
          <w:sz w:val="18"/>
          <w:szCs w:val="18"/>
          <w:vertAlign w:val="subscript"/>
        </w:rPr>
        <w:t xml:space="preserve">cfg</w:t>
      </w:r>
      <w:r>
        <w:rPr>
          <w:rFonts w:ascii="Times New Roman" w:cs="Times New Roman" w:eastAsia="Times New Roman" w:hAnsi="Times New Roman"/>
          <w:i w:val="false"/>
          <w:iCs w:val="false"/>
          <w:sz w:val="18"/>
          <w:szCs w:val="18"/>
        </w:rPr>
        <w:t xml:space="preserve">(p) / T</w:t>
      </w:r>
      <w:r>
        <w:rPr>
          <w:rFonts w:ascii="Times New Roman" w:cs="Times New Roman" w:eastAsia="Times New Roman" w:hAnsi="Times New Roman"/>
          <w:i w:val="false"/>
          <w:iCs w:val="false"/>
          <w:sz w:val="18"/>
          <w:szCs w:val="18"/>
          <w:vertAlign w:val="subscript"/>
        </w:rPr>
        <w:t xml:space="preserve">raw</w:t>
      </w:r>
      <w:r>
        <w:rPr>
          <w:rFonts w:ascii="Times New Roman" w:cs="Times New Roman" w:eastAsia="Times New Roman" w:hAnsi="Times New Roman"/>
          <w:i w:val="false"/>
          <w:iCs w:val="false"/>
          <w:sz w:val="18"/>
          <w:szCs w:val="18"/>
        </w:rPr>
        <w:t xml:space="preserve">(p)</w:t>
      </w:r>
      <w:r>
        <w:rPr>
          <w:rFonts w:ascii="Times New Roman" w:cs="Times New Roman" w:eastAsia="Times New Roman" w:hAnsi="Times New Roman"/>
          <w:sz w:val="18"/>
          <w:szCs w:val="18"/>
        </w:rPr>
        <w:t xml:space="preserve">	(5)</w:t>
      </w:r>
    </w:p>
    <w:p>
      <w:pPr>
        <w:pStyle w:val="ListParagraph"/>
        <w:numPr>
          <w:ilvl w:val="0"/>
          <w:numId w:val="4"/>
        </w:numPr>
        <w:spacing w:after="20" w:line="228"/>
        <w:jc w:val="both"/>
      </w:pPr>
      <w:r>
        <w:rPr>
          <w:rFonts w:ascii="Times New Roman" w:cs="Times New Roman" w:eastAsia="Times New Roman" w:hAnsi="Times New Roman"/>
          <w:b/>
          <w:bCs/>
          <w:sz w:val="18"/>
          <w:szCs w:val="18"/>
        </w:rPr>
        <w:t xml:space="preserve">Cycles per byte (M6).</w:t>
      </w:r>
      <w:r>
        <w:rPr>
          <w:rFonts w:ascii="Times New Roman" w:cs="Times New Roman" w:eastAsia="Times New Roman" w:hAnsi="Times New Roman"/>
          <w:sz w:val="18"/>
          <w:szCs w:val="18"/>
        </w:rPr>
        <w:t xml:space="preserve"> CPU cycles spent per delivered payload byte at clock f = 2.8 GHz. Unlike E it is independent of link speed and lets us project the ceiling of slower edge processors.</w:t>
      </w:r>
    </w:p>
    <w:p>
      <w:pPr>
        <w:tabs>
          <w:tab w:val="right" w:pos="4800"/>
        </w:tabs>
        <w:spacing w:after="40" w:before="30"/>
        <w:jc w:val="center"/>
      </w:pPr>
      <w:r>
        <w:rPr>
          <w:rFonts w:ascii="Times New Roman" w:cs="Times New Roman" w:eastAsia="Times New Roman" w:hAnsi="Times New Roman"/>
          <w:i w:val="false"/>
          <w:iCs w:val="false"/>
          <w:sz w:val="18"/>
          <w:szCs w:val="18"/>
        </w:rPr>
        <w:t xml:space="preserve">C</w:t>
      </w:r>
      <w:r>
        <w:rPr>
          <w:rFonts w:ascii="Times New Roman" w:cs="Times New Roman" w:eastAsia="Times New Roman" w:hAnsi="Times New Roman"/>
          <w:i w:val="false"/>
          <w:iCs w:val="false"/>
          <w:sz w:val="18"/>
          <w:szCs w:val="18"/>
          <w:vertAlign w:val="subscript"/>
        </w:rPr>
        <w:t xml:space="preserve">B</w:t>
      </w:r>
      <w:r>
        <w:rPr>
          <w:rFonts w:ascii="Times New Roman" w:cs="Times New Roman" w:eastAsia="Times New Roman" w:hAnsi="Times New Roman"/>
          <w:i w:val="false"/>
          <w:iCs w:val="false"/>
          <w:sz w:val="18"/>
          <w:szCs w:val="18"/>
        </w:rPr>
        <w:t xml:space="preserve"> = ((U</w:t>
      </w:r>
      <w:r>
        <w:rPr>
          <w:rFonts w:ascii="Times New Roman" w:cs="Times New Roman" w:eastAsia="Times New Roman" w:hAnsi="Times New Roman"/>
          <w:i w:val="false"/>
          <w:iCs w:val="false"/>
          <w:sz w:val="18"/>
          <w:szCs w:val="18"/>
          <w:vertAlign w:val="subscript"/>
        </w:rPr>
        <w:t xml:space="preserve">0</w:t>
      </w:r>
      <w:r>
        <w:rPr>
          <w:rFonts w:ascii="Times New Roman" w:cs="Times New Roman" w:eastAsia="Times New Roman" w:hAnsi="Times New Roman"/>
          <w:i w:val="false"/>
          <w:iCs w:val="false"/>
          <w:sz w:val="18"/>
          <w:szCs w:val="18"/>
        </w:rPr>
        <w:t xml:space="preserve">+U</w:t>
      </w:r>
      <w:r>
        <w:rPr>
          <w:rFonts w:ascii="Times New Roman" w:cs="Times New Roman" w:eastAsia="Times New Roman" w:hAnsi="Times New Roman"/>
          <w:i w:val="false"/>
          <w:iCs w:val="false"/>
          <w:sz w:val="18"/>
          <w:szCs w:val="18"/>
          <w:vertAlign w:val="subscript"/>
        </w:rPr>
        <w:t xml:space="preserve">1</w:t>
      </w:r>
      <w:r>
        <w:rPr>
          <w:rFonts w:ascii="Times New Roman" w:cs="Times New Roman" w:eastAsia="Times New Roman" w:hAnsi="Times New Roman"/>
          <w:i w:val="false"/>
          <w:iCs w:val="false"/>
          <w:sz w:val="18"/>
          <w:szCs w:val="18"/>
        </w:rPr>
        <w:t xml:space="preserve">)/100) · f / (T/8)   [cycles/B]</w:t>
      </w:r>
      <w:r>
        <w:rPr>
          <w:rFonts w:ascii="Times New Roman" w:cs="Times New Roman" w:eastAsia="Times New Roman" w:hAnsi="Times New Roman"/>
          <w:sz w:val="18"/>
          <w:szCs w:val="18"/>
        </w:rPr>
        <w:t xml:space="preserve">	(6)</w:t>
      </w:r>
    </w:p>
    <w:p>
      <w:pPr>
        <w:pStyle w:val="ListParagraph"/>
        <w:numPr>
          <w:ilvl w:val="0"/>
          <w:numId w:val="4"/>
        </w:numPr>
        <w:spacing w:after="20" w:line="228"/>
        <w:jc w:val="both"/>
      </w:pPr>
      <w:r>
        <w:rPr>
          <w:rFonts w:ascii="Times New Roman" w:cs="Times New Roman" w:eastAsia="Times New Roman" w:hAnsi="Times New Roman"/>
          <w:b/>
          <w:bCs/>
          <w:sz w:val="18"/>
          <w:szCs w:val="18"/>
        </w:rPr>
        <w:t xml:space="preserve">Setup cost (M7).</w:t>
      </w:r>
      <w:r>
        <w:rPr>
          <w:rFonts w:ascii="Times New Roman" w:cs="Times New Roman" w:eastAsia="Times New Roman" w:hAnsi="Times New Roman"/>
          <w:sz w:val="18"/>
          <w:szCs w:val="18"/>
        </w:rPr>
        <w:t xml:space="preserve"> Time and underlay bytes from process start until the first inner TCP connection succeeds; it reflects handshake complexity and matters for short-lived or on-demand tunnels.</w:t>
      </w:r>
    </w:p>
    <w:p>
      <w:pPr>
        <w:pStyle w:val="Heading2"/>
        <w:keepNext/>
        <w:spacing w:after="30" w:before="80"/>
      </w:pPr>
      <w:r>
        <w:rPr>
          <w:rFonts w:ascii="Times New Roman" w:cs="Times New Roman" w:eastAsia="Times New Roman" w:hAnsi="Times New Roman"/>
          <w:b/>
          <w:bCs/>
          <w:sz w:val="19"/>
          <w:szCs w:val="19"/>
        </w:rPr>
        <w:t xml:space="preserve">4.2 Efficiency on a Clean Link (RQ1)</w:t>
      </w:r>
    </w:p>
    <w:p>
      <w:pPr>
        <w:spacing w:after="40" w:before="0" w:line="228"/>
        <w:jc w:val="both"/>
      </w:pPr>
      <w:r>
        <w:rPr>
          <w:rFonts w:ascii="Times New Roman" w:cs="Times New Roman" w:eastAsia="Times New Roman" w:hAnsi="Times New Roman"/>
          <w:sz w:val="18"/>
          <w:szCs w:val="18"/>
        </w:rPr>
        <w:t xml:space="preserve">Table 2 and Figure 3 report the clean-link results. The raw veth path reaches 28.07 Gbit/s because the kernel moves 64 KB segments without per-packet work. Three groups emerge.</w:t>
      </w:r>
    </w:p>
    <w:p>
      <w:pPr>
        <w:keepNext/>
        <w:spacing w:after="30" w:before="60" w:line="216"/>
        <w:jc w:val="center"/>
      </w:pPr>
      <w:r>
        <w:rPr>
          <w:rFonts w:ascii="Times New Roman" w:cs="Times New Roman" w:eastAsia="Times New Roman" w:hAnsi="Times New Roman"/>
          <w:b/>
          <w:bCs/>
          <w:sz w:val="16"/>
          <w:szCs w:val="16"/>
        </w:rPr>
        <w:t xml:space="preserve">Table 2. </w:t>
      </w:r>
      <w:r>
        <w:rPr>
          <w:rFonts w:ascii="Times New Roman" w:cs="Times New Roman" w:eastAsia="Times New Roman" w:hAnsi="Times New Roman"/>
          <w:sz w:val="16"/>
          <w:szCs w:val="16"/>
        </w:rPr>
        <w:t xml:space="preserve">Clean-link results, one stream (mean ± 95% CI, n = 5). Raw row shows absolute RTT in parentheses.</w:t>
      </w:r>
    </w:p>
    <w:tbl>
      <w:tblPr>
        <w:tblW w:type="dxa" w:w="4780"/>
        <w:jc w:val="center"/>
        <w:tblBorders>
          <w:top w:val="single" w:color="auto" w:sz="4"/>
          <w:left w:val="single" w:color="auto" w:sz="4"/>
          <w:bottom w:val="single" w:color="auto" w:sz="4"/>
          <w:right w:val="single" w:color="auto" w:sz="4"/>
          <w:insideH w:val="single" w:color="auto" w:sz="4"/>
          <w:insideV w:val="single" w:color="auto" w:sz="4"/>
        </w:tblBorders>
      </w:tblPr>
      <w:tblGrid>
        <w:gridCol w:w="640"/>
        <w:gridCol w:w="1040"/>
        <w:gridCol w:w="600"/>
        <w:gridCol w:w="440"/>
        <w:gridCol w:w="440"/>
        <w:gridCol w:w="460"/>
        <w:gridCol w:w="640"/>
        <w:gridCol w:w="520"/>
      </w:tblGrid>
      <w:tr>
        <w:trPr>
          <w:cantSplit/>
          <w:tblHeader/>
        </w:trPr>
        <w:tc>
          <w:tcPr>
            <w:tcW w:type="dxa" w:w="640"/>
            <w:tcBorders>
              <w:top w:val="single" w:color="000000" w:sz="6"/>
              <w:left w:val="none" w:color="FFFFFF" w:sz="0"/>
              <w:bottom w:val="single" w:color="000000" w:sz="6"/>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b/>
                <w:bCs/>
                <w:sz w:val="12"/>
                <w:szCs w:val="12"/>
              </w:rPr>
              <w:t xml:space="preserve">Config</w:t>
            </w:r>
          </w:p>
        </w:tc>
        <w:tc>
          <w:tcPr>
            <w:tcW w:type="dxa" w:w="1040"/>
            <w:tcBorders>
              <w:top w:val="single" w:color="000000" w:sz="6"/>
              <w:left w:val="none" w:color="FFFFFF" w:sz="0"/>
              <w:bottom w:val="single" w:color="000000" w:sz="6"/>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b/>
                <w:bCs/>
                <w:sz w:val="12"/>
                <w:szCs w:val="12"/>
              </w:rPr>
              <w:t xml:space="preserve">T (Mbit/s)</w:t>
            </w:r>
          </w:p>
        </w:tc>
        <w:tc>
          <w:tcPr>
            <w:tcW w:type="dxa" w:w="600"/>
            <w:tcBorders>
              <w:top w:val="single" w:color="000000" w:sz="6"/>
              <w:left w:val="none" w:color="FFFFFF" w:sz="0"/>
              <w:bottom w:val="single" w:color="000000" w:sz="6"/>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b/>
                <w:bCs/>
                <w:sz w:val="12"/>
                <w:szCs w:val="12"/>
              </w:rPr>
              <w:t xml:space="preserve">U</w:t>
            </w:r>
            <w:r>
              <w:rPr>
                <w:rFonts w:ascii="Times New Roman" w:cs="Times New Roman" w:eastAsia="Times New Roman" w:hAnsi="Times New Roman"/>
                <w:b/>
                <w:bCs/>
                <w:sz w:val="12"/>
                <w:szCs w:val="12"/>
                <w:vertAlign w:val="subscript"/>
              </w:rPr>
              <w:t xml:space="preserve">0</w:t>
            </w:r>
            <w:r>
              <w:rPr>
                <w:rFonts w:ascii="Times New Roman" w:cs="Times New Roman" w:eastAsia="Times New Roman" w:hAnsi="Times New Roman"/>
                <w:b/>
                <w:bCs/>
                <w:sz w:val="12"/>
                <w:szCs w:val="12"/>
              </w:rPr>
              <w:t xml:space="preserve">+U</w:t>
            </w:r>
            <w:r>
              <w:rPr>
                <w:rFonts w:ascii="Times New Roman" w:cs="Times New Roman" w:eastAsia="Times New Roman" w:hAnsi="Times New Roman"/>
                <w:b/>
                <w:bCs/>
                <w:sz w:val="12"/>
                <w:szCs w:val="12"/>
                <w:vertAlign w:val="subscript"/>
              </w:rPr>
              <w:t xml:space="preserve">1</w:t>
            </w:r>
            <w:r>
              <w:rPr>
                <w:rFonts w:ascii="Times New Roman" w:cs="Times New Roman" w:eastAsia="Times New Roman" w:hAnsi="Times New Roman"/>
                <w:b/>
                <w:bCs/>
                <w:sz w:val="12"/>
                <w:szCs w:val="12"/>
              </w:rPr>
              <w:t xml:space="preserve"> (%)</w:t>
            </w:r>
          </w:p>
        </w:tc>
        <w:tc>
          <w:tcPr>
            <w:tcW w:type="dxa" w:w="440"/>
            <w:tcBorders>
              <w:top w:val="single" w:color="000000" w:sz="6"/>
              <w:left w:val="none" w:color="FFFFFF" w:sz="0"/>
              <w:bottom w:val="single" w:color="000000" w:sz="6"/>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b/>
                <w:bCs/>
                <w:sz w:val="12"/>
                <w:szCs w:val="12"/>
              </w:rPr>
              <w:t xml:space="preserve">E</w:t>
            </w:r>
          </w:p>
        </w:tc>
        <w:tc>
          <w:tcPr>
            <w:tcW w:type="dxa" w:w="440"/>
            <w:tcBorders>
              <w:top w:val="single" w:color="000000" w:sz="6"/>
              <w:left w:val="none" w:color="FFFFFF" w:sz="0"/>
              <w:bottom w:val="single" w:color="000000" w:sz="6"/>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b/>
                <w:bCs/>
                <w:sz w:val="12"/>
                <w:szCs w:val="12"/>
              </w:rPr>
              <w:t xml:space="preserve">C</w:t>
            </w:r>
            <w:r>
              <w:rPr>
                <w:rFonts w:ascii="Times New Roman" w:cs="Times New Roman" w:eastAsia="Times New Roman" w:hAnsi="Times New Roman"/>
                <w:b/>
                <w:bCs/>
                <w:sz w:val="12"/>
                <w:szCs w:val="12"/>
                <w:vertAlign w:val="subscript"/>
              </w:rPr>
              <w:t xml:space="preserve">B</w:t>
            </w:r>
          </w:p>
        </w:tc>
        <w:tc>
          <w:tcPr>
            <w:tcW w:type="dxa" w:w="460"/>
            <w:tcBorders>
              <w:top w:val="single" w:color="000000" w:sz="6"/>
              <w:left w:val="none" w:color="FFFFFF" w:sz="0"/>
              <w:bottom w:val="single" w:color="000000" w:sz="6"/>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b/>
                <w:bCs/>
                <w:sz w:val="12"/>
                <w:szCs w:val="12"/>
              </w:rPr>
              <w:t xml:space="preserve">G (%)</w:t>
            </w:r>
          </w:p>
        </w:tc>
        <w:tc>
          <w:tcPr>
            <w:tcW w:type="dxa" w:w="640"/>
            <w:tcBorders>
              <w:top w:val="single" w:color="000000" w:sz="6"/>
              <w:left w:val="none" w:color="FFFFFF" w:sz="0"/>
              <w:bottom w:val="single" w:color="000000" w:sz="6"/>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b/>
                <w:bCs/>
                <w:sz w:val="12"/>
                <w:szCs w:val="12"/>
              </w:rPr>
              <w:t xml:space="preserve">ΔRTT</w:t>
            </w:r>
            <w:r>
              <w:rPr>
                <w:rFonts w:ascii="Times New Roman" w:cs="Times New Roman" w:eastAsia="Times New Roman" w:hAnsi="Times New Roman"/>
                <w:b/>
                <w:bCs/>
                <w:sz w:val="12"/>
                <w:szCs w:val="12"/>
                <w:vertAlign w:val="subscript"/>
              </w:rPr>
              <w:t xml:space="preserve">64</w:t>
            </w:r>
            <w:r>
              <w:rPr>
                <w:rFonts w:ascii="Times New Roman" w:cs="Times New Roman" w:eastAsia="Times New Roman" w:hAnsi="Times New Roman"/>
                <w:b/>
                <w:bCs/>
                <w:sz w:val="12"/>
                <w:szCs w:val="12"/>
              </w:rPr>
              <w:t xml:space="preserve"> (µs)</w:t>
            </w:r>
          </w:p>
        </w:tc>
        <w:tc>
          <w:tcPr>
            <w:tcW w:type="dxa" w:w="520"/>
            <w:tcBorders>
              <w:top w:val="single" w:color="000000" w:sz="6"/>
              <w:left w:val="none" w:color="FFFFFF" w:sz="0"/>
              <w:bottom w:val="single" w:color="000000" w:sz="6"/>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b/>
                <w:bCs/>
                <w:sz w:val="12"/>
                <w:szCs w:val="12"/>
              </w:rPr>
              <w:t xml:space="preserve">Setup (s)</w:t>
            </w:r>
          </w:p>
        </w:tc>
      </w:tr>
      <w:tr>
        <w:trPr>
          <w:cantSplit/>
          <w:tblHeader w:val="off"/>
        </w:trPr>
        <w:tc>
          <w:tcPr>
            <w:tcW w:type="dxa" w:w="64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sz w:val="12"/>
                <w:szCs w:val="12"/>
              </w:rPr>
              <w:t xml:space="preserve">Raw</w:t>
            </w:r>
          </w:p>
        </w:tc>
        <w:tc>
          <w:tcPr>
            <w:tcW w:type="dxa" w:w="104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28,065 ± 1,442</w:t>
            </w:r>
          </w:p>
        </w:tc>
        <w:tc>
          <w:tcPr>
            <w:tcW w:type="dxa" w:w="6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164</w:t>
            </w:r>
          </w:p>
        </w:tc>
        <w:tc>
          <w:tcPr>
            <w:tcW w:type="dxa" w:w="44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171.0</w:t>
            </w:r>
          </w:p>
        </w:tc>
        <w:tc>
          <w:tcPr>
            <w:tcW w:type="dxa" w:w="44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1.3</w:t>
            </w:r>
          </w:p>
        </w:tc>
        <w:tc>
          <w:tcPr>
            <w:tcW w:type="dxa" w:w="46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99.0</w:t>
            </w:r>
          </w:p>
        </w:tc>
        <w:tc>
          <w:tcPr>
            <w:tcW w:type="dxa" w:w="64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(60)</w:t>
            </w:r>
          </w:p>
        </w:tc>
        <w:tc>
          <w:tcPr>
            <w:tcW w:type="dxa" w:w="52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0.04</w:t>
            </w:r>
          </w:p>
        </w:tc>
      </w:tr>
      <w:tr>
        <w:trPr>
          <w:cantSplit/>
          <w:tblHeader w:val="off"/>
        </w:trPr>
        <w:tc>
          <w:tcPr>
            <w:tcW w:type="dxa" w:w="64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sz w:val="12"/>
                <w:szCs w:val="12"/>
              </w:rPr>
              <w:t xml:space="preserve">WG</w:t>
            </w:r>
          </w:p>
        </w:tc>
        <w:tc>
          <w:tcPr>
            <w:tcW w:type="dxa" w:w="104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1,581 ± 173</w:t>
            </w:r>
          </w:p>
        </w:tc>
        <w:tc>
          <w:tcPr>
            <w:tcW w:type="dxa" w:w="6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138</w:t>
            </w:r>
          </w:p>
        </w:tc>
        <w:tc>
          <w:tcPr>
            <w:tcW w:type="dxa" w:w="44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11.4</w:t>
            </w:r>
          </w:p>
        </w:tc>
        <w:tc>
          <w:tcPr>
            <w:tcW w:type="dxa" w:w="44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19.6</w:t>
            </w:r>
          </w:p>
        </w:tc>
        <w:tc>
          <w:tcPr>
            <w:tcW w:type="dxa" w:w="46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92.4</w:t>
            </w:r>
          </w:p>
        </w:tc>
        <w:tc>
          <w:tcPr>
            <w:tcW w:type="dxa" w:w="64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+113</w:t>
            </w:r>
          </w:p>
        </w:tc>
        <w:tc>
          <w:tcPr>
            <w:tcW w:type="dxa" w:w="52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0.09</w:t>
            </w:r>
          </w:p>
        </w:tc>
      </w:tr>
      <w:tr>
        <w:trPr>
          <w:cantSplit/>
          <w:tblHeader w:val="off"/>
        </w:trPr>
        <w:tc>
          <w:tcPr>
            <w:tcW w:type="dxa" w:w="64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sz w:val="12"/>
                <w:szCs w:val="12"/>
              </w:rPr>
              <w:t xml:space="preserve">OV-U</w:t>
            </w:r>
          </w:p>
        </w:tc>
        <w:tc>
          <w:tcPr>
            <w:tcW w:type="dxa" w:w="104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727 ± 96</w:t>
            </w:r>
          </w:p>
        </w:tc>
        <w:tc>
          <w:tcPr>
            <w:tcW w:type="dxa" w:w="6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171</w:t>
            </w:r>
          </w:p>
        </w:tc>
        <w:tc>
          <w:tcPr>
            <w:tcW w:type="dxa" w:w="44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4.3</w:t>
            </w:r>
          </w:p>
        </w:tc>
        <w:tc>
          <w:tcPr>
            <w:tcW w:type="dxa" w:w="44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52.6</w:t>
            </w:r>
          </w:p>
        </w:tc>
        <w:tc>
          <w:tcPr>
            <w:tcW w:type="dxa" w:w="46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91.6</w:t>
            </w:r>
          </w:p>
        </w:tc>
        <w:tc>
          <w:tcPr>
            <w:tcW w:type="dxa" w:w="64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+48</w:t>
            </w:r>
          </w:p>
        </w:tc>
        <w:tc>
          <w:tcPr>
            <w:tcW w:type="dxa" w:w="52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2.25</w:t>
            </w:r>
          </w:p>
        </w:tc>
      </w:tr>
      <w:tr>
        <w:trPr>
          <w:cantSplit/>
          <w:tblHeader w:val="off"/>
        </w:trPr>
        <w:tc>
          <w:tcPr>
            <w:tcW w:type="dxa" w:w="64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sz w:val="12"/>
                <w:szCs w:val="12"/>
              </w:rPr>
              <w:t xml:space="preserve">OV-U-C</w:t>
            </w:r>
          </w:p>
        </w:tc>
        <w:tc>
          <w:tcPr>
            <w:tcW w:type="dxa" w:w="104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742 ± 107</w:t>
            </w:r>
          </w:p>
        </w:tc>
        <w:tc>
          <w:tcPr>
            <w:tcW w:type="dxa" w:w="6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172</w:t>
            </w:r>
          </w:p>
        </w:tc>
        <w:tc>
          <w:tcPr>
            <w:tcW w:type="dxa" w:w="44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4.3</w:t>
            </w:r>
          </w:p>
        </w:tc>
        <w:tc>
          <w:tcPr>
            <w:tcW w:type="dxa" w:w="44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51.8</w:t>
            </w:r>
          </w:p>
        </w:tc>
        <w:tc>
          <w:tcPr>
            <w:tcW w:type="dxa" w:w="46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92.6</w:t>
            </w:r>
          </w:p>
        </w:tc>
        <w:tc>
          <w:tcPr>
            <w:tcW w:type="dxa" w:w="64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+46</w:t>
            </w:r>
          </w:p>
        </w:tc>
        <w:tc>
          <w:tcPr>
            <w:tcW w:type="dxa" w:w="52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2.00</w:t>
            </w:r>
          </w:p>
        </w:tc>
      </w:tr>
      <w:tr>
        <w:trPr>
          <w:cantSplit/>
          <w:tblHeader w:val="off"/>
        </w:trPr>
        <w:tc>
          <w:tcPr>
            <w:tcW w:type="dxa" w:w="64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sz w:val="12"/>
                <w:szCs w:val="12"/>
              </w:rPr>
              <w:t xml:space="preserve">OV-T</w:t>
            </w:r>
          </w:p>
        </w:tc>
        <w:tc>
          <w:tcPr>
            <w:tcW w:type="dxa" w:w="104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652 ± 102</w:t>
            </w:r>
          </w:p>
        </w:tc>
        <w:tc>
          <w:tcPr>
            <w:tcW w:type="dxa" w:w="6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175</w:t>
            </w:r>
          </w:p>
        </w:tc>
        <w:tc>
          <w:tcPr>
            <w:tcW w:type="dxa" w:w="44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3.7</w:t>
            </w:r>
          </w:p>
        </w:tc>
        <w:tc>
          <w:tcPr>
            <w:tcW w:type="dxa" w:w="44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60.2</w:t>
            </w:r>
          </w:p>
        </w:tc>
        <w:tc>
          <w:tcPr>
            <w:tcW w:type="dxa" w:w="46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90.2</w:t>
            </w:r>
          </w:p>
        </w:tc>
        <w:tc>
          <w:tcPr>
            <w:tcW w:type="dxa" w:w="64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+43</w:t>
            </w:r>
          </w:p>
        </w:tc>
        <w:tc>
          <w:tcPr>
            <w:tcW w:type="dxa" w:w="52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2.71</w:t>
            </w:r>
          </w:p>
        </w:tc>
      </w:tr>
      <w:tr>
        <w:trPr>
          <w:cantSplit/>
          <w:tblHeader w:val="off"/>
        </w:trPr>
        <w:tc>
          <w:tcPr>
            <w:tcW w:type="dxa" w:w="64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sz w:val="12"/>
                <w:szCs w:val="12"/>
              </w:rPr>
              <w:t xml:space="preserve">SSH-L</w:t>
            </w:r>
          </w:p>
        </w:tc>
        <w:tc>
          <w:tcPr>
            <w:tcW w:type="dxa" w:w="104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4,095 ± 121</w:t>
            </w:r>
          </w:p>
        </w:tc>
        <w:tc>
          <w:tcPr>
            <w:tcW w:type="dxa" w:w="6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190</w:t>
            </w:r>
          </w:p>
        </w:tc>
        <w:tc>
          <w:tcPr>
            <w:tcW w:type="dxa" w:w="44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21.5</w:t>
            </w:r>
          </w:p>
        </w:tc>
        <w:tc>
          <w:tcPr>
            <w:tcW w:type="dxa" w:w="44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10.4</w:t>
            </w:r>
          </w:p>
        </w:tc>
        <w:tc>
          <w:tcPr>
            <w:tcW w:type="dxa" w:w="46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99.9</w:t>
            </w:r>
          </w:p>
        </w:tc>
        <w:tc>
          <w:tcPr>
            <w:tcW w:type="dxa" w:w="64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+61</w:t>
            </w:r>
          </w:p>
        </w:tc>
        <w:tc>
          <w:tcPr>
            <w:tcW w:type="dxa" w:w="52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0.44</w:t>
            </w:r>
          </w:p>
        </w:tc>
      </w:tr>
      <w:tr>
        <w:trPr>
          <w:cantSplit/>
          <w:tblHeader w:val="off"/>
        </w:trPr>
        <w:tc>
          <w:tcPr>
            <w:tcW w:type="dxa" w:w="64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sz w:val="12"/>
                <w:szCs w:val="12"/>
              </w:rPr>
              <w:t xml:space="preserve">SSH-L-A</w:t>
            </w:r>
          </w:p>
        </w:tc>
        <w:tc>
          <w:tcPr>
            <w:tcW w:type="dxa" w:w="104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8,596 ± 297</w:t>
            </w:r>
          </w:p>
        </w:tc>
        <w:tc>
          <w:tcPr>
            <w:tcW w:type="dxa" w:w="6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187</w:t>
            </w:r>
          </w:p>
        </w:tc>
        <w:tc>
          <w:tcPr>
            <w:tcW w:type="dxa" w:w="44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45.9</w:t>
            </w:r>
          </w:p>
        </w:tc>
        <w:tc>
          <w:tcPr>
            <w:tcW w:type="dxa" w:w="44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4.9</w:t>
            </w:r>
          </w:p>
        </w:tc>
        <w:tc>
          <w:tcPr>
            <w:tcW w:type="dxa" w:w="46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100.0</w:t>
            </w:r>
          </w:p>
        </w:tc>
        <w:tc>
          <w:tcPr>
            <w:tcW w:type="dxa" w:w="64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+52</w:t>
            </w:r>
          </w:p>
        </w:tc>
        <w:tc>
          <w:tcPr>
            <w:tcW w:type="dxa" w:w="52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0.45</w:t>
            </w:r>
          </w:p>
        </w:tc>
      </w:tr>
      <w:tr>
        <w:trPr>
          <w:cantSplit/>
          <w:tblHeader w:val="off"/>
        </w:trPr>
        <w:tc>
          <w:tcPr>
            <w:tcW w:type="dxa" w:w="640"/>
            <w:tcBorders>
              <w:top w:val="none" w:color="FFFFFF" w:sz="0"/>
              <w:left w:val="none" w:color="FFFFFF" w:sz="0"/>
              <w:bottom w:val="single" w:color="000000" w:sz="6"/>
              <w:right w:val="none" w:color="FFFFFF" w:sz="0"/>
            </w:tcBorders>
            <w:tcMar>
              <w:top w:type="dxa" w:w="15"/>
              <w:left w:type="dxa" w:w="40"/>
              <w:bottom w:type="dxa" w:w="15"/>
              <w:right w:type="dxa" w:w="40"/>
            </w:tcMar>
          </w:tcPr>
          <w:p>
            <w:pPr>
              <w:keepNext w:val="false"/>
              <w:keepLines/>
              <w:spacing w:after="0" w:line="200"/>
              <w:jc w:val="left"/>
            </w:pPr>
            <w:r>
              <w:rPr>
                <w:rFonts w:ascii="Times New Roman" w:cs="Times New Roman" w:eastAsia="Times New Roman" w:hAnsi="Times New Roman"/>
                <w:sz w:val="12"/>
                <w:szCs w:val="12"/>
              </w:rPr>
              <w:t xml:space="preserve">SSH-W</w:t>
            </w:r>
          </w:p>
        </w:tc>
        <w:tc>
          <w:tcPr>
            <w:tcW w:type="dxa" w:w="1040"/>
            <w:tcBorders>
              <w:top w:val="none" w:color="FFFFFF" w:sz="0"/>
              <w:left w:val="none" w:color="FFFFFF" w:sz="0"/>
              <w:bottom w:val="single" w:color="000000" w:sz="6"/>
              <w:right w:val="none" w:color="FFFFFF" w:sz="0"/>
            </w:tcBorders>
            <w:tcMar>
              <w:top w:type="dxa" w:w="15"/>
              <w:left w:type="dxa" w:w="40"/>
              <w:bottom w:type="dxa" w:w="15"/>
              <w:right w:type="dxa" w:w="40"/>
            </w:tcMar>
          </w:tcPr>
          <w:p>
            <w:pPr>
              <w:keepNext w:val="false"/>
              <w:keepLines/>
              <w:spacing w:after="0" w:line="200"/>
              <w:jc w:val="center"/>
            </w:pPr>
            <w:r>
              <w:rPr>
                <w:rFonts w:ascii="Times New Roman" w:cs="Times New Roman" w:eastAsia="Times New Roman" w:hAnsi="Times New Roman"/>
                <w:sz w:val="12"/>
                <w:szCs w:val="12"/>
              </w:rPr>
              <w:t xml:space="preserve">575 ± 43</w:t>
            </w:r>
          </w:p>
        </w:tc>
        <w:tc>
          <w:tcPr>
            <w:tcW w:type="dxa" w:w="600"/>
            <w:tcBorders>
              <w:top w:val="none" w:color="FFFFFF" w:sz="0"/>
              <w:left w:val="none" w:color="FFFFFF" w:sz="0"/>
              <w:bottom w:val="single" w:color="000000" w:sz="6"/>
              <w:right w:val="none" w:color="FFFFFF" w:sz="0"/>
            </w:tcBorders>
            <w:tcMar>
              <w:top w:type="dxa" w:w="15"/>
              <w:left w:type="dxa" w:w="40"/>
              <w:bottom w:type="dxa" w:w="15"/>
              <w:right w:type="dxa" w:w="40"/>
            </w:tcMar>
          </w:tcPr>
          <w:p>
            <w:pPr>
              <w:keepNext w:val="false"/>
              <w:keepLines/>
              <w:spacing w:after="0" w:line="200"/>
              <w:jc w:val="center"/>
            </w:pPr>
            <w:r>
              <w:rPr>
                <w:rFonts w:ascii="Times New Roman" w:cs="Times New Roman" w:eastAsia="Times New Roman" w:hAnsi="Times New Roman"/>
                <w:sz w:val="12"/>
                <w:szCs w:val="12"/>
              </w:rPr>
              <w:t xml:space="preserve">185</w:t>
            </w:r>
          </w:p>
        </w:tc>
        <w:tc>
          <w:tcPr>
            <w:tcW w:type="dxa" w:w="440"/>
            <w:tcBorders>
              <w:top w:val="none" w:color="FFFFFF" w:sz="0"/>
              <w:left w:val="none" w:color="FFFFFF" w:sz="0"/>
              <w:bottom w:val="single" w:color="000000" w:sz="6"/>
              <w:right w:val="none" w:color="FFFFFF" w:sz="0"/>
            </w:tcBorders>
            <w:tcMar>
              <w:top w:type="dxa" w:w="15"/>
              <w:left w:type="dxa" w:w="40"/>
              <w:bottom w:type="dxa" w:w="15"/>
              <w:right w:type="dxa" w:w="40"/>
            </w:tcMar>
          </w:tcPr>
          <w:p>
            <w:pPr>
              <w:keepNext w:val="false"/>
              <w:keepLines/>
              <w:spacing w:after="0" w:line="200"/>
              <w:jc w:val="center"/>
            </w:pPr>
            <w:r>
              <w:rPr>
                <w:rFonts w:ascii="Times New Roman" w:cs="Times New Roman" w:eastAsia="Times New Roman" w:hAnsi="Times New Roman"/>
                <w:sz w:val="12"/>
                <w:szCs w:val="12"/>
              </w:rPr>
              <w:t xml:space="preserve">3.1</w:t>
            </w:r>
          </w:p>
        </w:tc>
        <w:tc>
          <w:tcPr>
            <w:tcW w:type="dxa" w:w="440"/>
            <w:tcBorders>
              <w:top w:val="none" w:color="FFFFFF" w:sz="0"/>
              <w:left w:val="none" w:color="FFFFFF" w:sz="0"/>
              <w:bottom w:val="single" w:color="000000" w:sz="6"/>
              <w:right w:val="none" w:color="FFFFFF" w:sz="0"/>
            </w:tcBorders>
            <w:tcMar>
              <w:top w:type="dxa" w:w="15"/>
              <w:left w:type="dxa" w:w="40"/>
              <w:bottom w:type="dxa" w:w="15"/>
              <w:right w:type="dxa" w:w="40"/>
            </w:tcMar>
          </w:tcPr>
          <w:p>
            <w:pPr>
              <w:keepNext w:val="false"/>
              <w:keepLines/>
              <w:spacing w:after="0" w:line="200"/>
              <w:jc w:val="center"/>
            </w:pPr>
            <w:r>
              <w:rPr>
                <w:rFonts w:ascii="Times New Roman" w:cs="Times New Roman" w:eastAsia="Times New Roman" w:hAnsi="Times New Roman"/>
                <w:sz w:val="12"/>
                <w:szCs w:val="12"/>
              </w:rPr>
              <w:t xml:space="preserve">72.2</w:t>
            </w:r>
          </w:p>
        </w:tc>
        <w:tc>
          <w:tcPr>
            <w:tcW w:type="dxa" w:w="460"/>
            <w:tcBorders>
              <w:top w:val="none" w:color="FFFFFF" w:sz="0"/>
              <w:left w:val="none" w:color="FFFFFF" w:sz="0"/>
              <w:bottom w:val="single" w:color="000000" w:sz="6"/>
              <w:right w:val="none" w:color="FFFFFF" w:sz="0"/>
            </w:tcBorders>
            <w:tcMar>
              <w:top w:type="dxa" w:w="15"/>
              <w:left w:type="dxa" w:w="40"/>
              <w:bottom w:type="dxa" w:w="15"/>
              <w:right w:type="dxa" w:w="40"/>
            </w:tcMar>
          </w:tcPr>
          <w:p>
            <w:pPr>
              <w:keepNext w:val="false"/>
              <w:keepLines/>
              <w:spacing w:after="0" w:line="200"/>
              <w:jc w:val="center"/>
            </w:pPr>
            <w:r>
              <w:rPr>
                <w:rFonts w:ascii="Times New Roman" w:cs="Times New Roman" w:eastAsia="Times New Roman" w:hAnsi="Times New Roman"/>
                <w:sz w:val="12"/>
                <w:szCs w:val="12"/>
              </w:rPr>
              <w:t xml:space="preserve">90.1</w:t>
            </w:r>
          </w:p>
        </w:tc>
        <w:tc>
          <w:tcPr>
            <w:tcW w:type="dxa" w:w="640"/>
            <w:tcBorders>
              <w:top w:val="none" w:color="FFFFFF" w:sz="0"/>
              <w:left w:val="none" w:color="FFFFFF" w:sz="0"/>
              <w:bottom w:val="single" w:color="000000" w:sz="6"/>
              <w:right w:val="none" w:color="FFFFFF" w:sz="0"/>
            </w:tcBorders>
            <w:tcMar>
              <w:top w:type="dxa" w:w="15"/>
              <w:left w:type="dxa" w:w="40"/>
              <w:bottom w:type="dxa" w:w="15"/>
              <w:right w:type="dxa" w:w="40"/>
            </w:tcMar>
          </w:tcPr>
          <w:p>
            <w:pPr>
              <w:keepNext w:val="false"/>
              <w:keepLines/>
              <w:spacing w:after="0" w:line="200"/>
              <w:jc w:val="center"/>
            </w:pPr>
            <w:r>
              <w:rPr>
                <w:rFonts w:ascii="Times New Roman" w:cs="Times New Roman" w:eastAsia="Times New Roman" w:hAnsi="Times New Roman"/>
                <w:sz w:val="12"/>
                <w:szCs w:val="12"/>
              </w:rPr>
              <w:t xml:space="preserve">+52</w:t>
            </w:r>
          </w:p>
        </w:tc>
        <w:tc>
          <w:tcPr>
            <w:tcW w:type="dxa" w:w="520"/>
            <w:tcBorders>
              <w:top w:val="none" w:color="FFFFFF" w:sz="0"/>
              <w:left w:val="none" w:color="FFFFFF" w:sz="0"/>
              <w:bottom w:val="single" w:color="000000" w:sz="6"/>
              <w:right w:val="none" w:color="FFFFFF" w:sz="0"/>
            </w:tcBorders>
            <w:tcMar>
              <w:top w:type="dxa" w:w="15"/>
              <w:left w:type="dxa" w:w="40"/>
              <w:bottom w:type="dxa" w:w="15"/>
              <w:right w:type="dxa" w:w="40"/>
            </w:tcMar>
          </w:tcPr>
          <w:p>
            <w:pPr>
              <w:keepNext w:val="false"/>
              <w:keepLines/>
              <w:spacing w:after="0" w:line="200"/>
              <w:jc w:val="center"/>
            </w:pPr>
            <w:r>
              <w:rPr>
                <w:rFonts w:ascii="Times New Roman" w:cs="Times New Roman" w:eastAsia="Times New Roman" w:hAnsi="Times New Roman"/>
                <w:sz w:val="12"/>
                <w:szCs w:val="12"/>
              </w:rPr>
              <w:t xml:space="preserve">0.47</w:t>
            </w:r>
          </w:p>
        </w:tc>
      </w:tr>
    </w:tbl>
    <w:p>
      <w:pPr>
        <w:keepNext/>
        <w:spacing w:after="20" w:before="40"/>
        <w:jc w:val="center"/>
      </w:pPr>
      <w:r>
        <w:drawing>
          <wp:inline distT="0" distB="0" distL="0" distR="0">
            <wp:extent cx="2971800" cy="27051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971800" cy="2705100"/>
                    </a:xfrm>
                    <a:prstGeom prst="rect">
                      <a:avLst/>
                    </a:prstGeom>
                  </pic:spPr>
                </pic:pic>
              </a:graphicData>
            </a:graphic>
          </wp:inline>
        </w:drawing>
      </w:r>
    </w:p>
    <w:p>
      <w:pPr>
        <w:spacing w:after="90" w:before="20" w:line="216"/>
        <w:jc w:val="both"/>
      </w:pPr>
      <w:r>
        <w:rPr>
          <w:rFonts w:ascii="Times New Roman" w:cs="Times New Roman" w:eastAsia="Times New Roman" w:hAnsi="Times New Roman"/>
          <w:b/>
          <w:bCs/>
          <w:sz w:val="16"/>
          <w:szCs w:val="16"/>
        </w:rPr>
        <w:t xml:space="preserve">Figure 3. </w:t>
      </w:r>
      <w:r>
        <w:rPr>
          <w:rFonts w:ascii="Times New Roman" w:cs="Times New Roman" w:eastAsia="Times New Roman" w:hAnsi="Times New Roman"/>
          <w:sz w:val="16"/>
          <w:szCs w:val="16"/>
        </w:rPr>
        <w:t xml:space="preserve">Clean-link throughput with one and four streams (a) and CPU efficiency (b), log scale; error bars are 95% CIs.</w:t>
      </w:r>
    </w:p>
    <w:p>
      <w:pPr>
        <w:spacing w:after="40" w:line="228"/>
        <w:jc w:val="both"/>
      </w:pPr>
      <w:r>
        <w:rPr>
          <w:rFonts w:ascii="Times New Roman" w:cs="Times New Roman" w:eastAsia="Times New Roman" w:hAnsi="Times New Roman"/>
          <w:b/>
          <w:bCs/>
          <w:sz w:val="18"/>
          <w:szCs w:val="18"/>
        </w:rPr>
        <w:t xml:space="preserve">(i) Byte-stream SSH forwarding is fastest. </w:t>
      </w:r>
      <w:r>
        <w:rPr>
          <w:rFonts w:ascii="Times New Roman" w:cs="Times New Roman" w:eastAsia="Times New Roman" w:hAnsi="Times New Roman"/>
          <w:sz w:val="18"/>
          <w:szCs w:val="18"/>
        </w:rPr>
        <w:t xml:space="preserve">SSH-L moved 4.10 Gbit/s with ChaCha20-Poly1305 and 8.60 Gbit/s with AES-256-GCM, with near-perfect goodput (99.9%). Because it relays bytes, the kernel can still coalesce data into large segments, so ssh and sshd perform a few large reads, encryptions and writes rather than one per packet.</w:t>
      </w:r>
    </w:p>
    <w:p>
      <w:pPr>
        <w:spacing w:after="40" w:line="228"/>
        <w:jc w:val="both"/>
      </w:pPr>
      <w:r>
        <w:rPr>
          <w:rFonts w:ascii="Times New Roman" w:cs="Times New Roman" w:eastAsia="Times New Roman" w:hAnsi="Times New Roman"/>
          <w:b/>
          <w:bCs/>
          <w:sz w:val="18"/>
          <w:szCs w:val="18"/>
        </w:rPr>
        <w:t xml:space="preserve">(ii) Packet tunnels are bounded by per-packet work. </w:t>
      </w:r>
      <w:r>
        <w:rPr>
          <w:rFonts w:ascii="Times New Roman" w:cs="Times New Roman" w:eastAsia="Times New Roman" w:hAnsi="Times New Roman"/>
          <w:sz w:val="18"/>
          <w:szCs w:val="18"/>
        </w:rPr>
        <w:t xml:space="preserve">WireGuard reached 1.58 Gbit/s (1.97 with four streams); OpenVPN-UDP 727, OpenVPN-TCP 652 and SSH-W 575 Mbit/s, with both vCPUs above 85% busy. Swapping OpenVPN’s cipher from AES-256-GCM to ChaCha20-Poly1305 left throughput unchanged (727 vs. 742 Mbit/s, overlapping CIs), whereas in SSH-L moving from ChaCha20-Poly1305 to AES-256-GCM (AES-NI) doubled the rate. Cryptography therefore dominates only once per-packet overhead is removed.</w:t>
      </w:r>
    </w:p>
    <w:p>
      <w:pPr>
        <w:spacing w:after="40" w:line="228"/>
        <w:jc w:val="both"/>
      </w:pPr>
      <w:r>
        <w:rPr>
          <w:rFonts w:ascii="Times New Roman" w:cs="Times New Roman" w:eastAsia="Times New Roman" w:hAnsi="Times New Roman"/>
          <w:b/>
          <w:bCs/>
          <w:sz w:val="18"/>
          <w:szCs w:val="18"/>
        </w:rPr>
        <w:t xml:space="preserve">(iii) Context switches explain the gap. </w:t>
      </w:r>
      <w:r>
        <w:rPr>
          <w:rFonts w:ascii="Times New Roman" w:cs="Times New Roman" w:eastAsia="Times New Roman" w:hAnsi="Times New Roman"/>
          <w:sz w:val="18"/>
          <w:szCs w:val="18"/>
        </w:rPr>
        <w:t xml:space="preserve">A supplementary run counted system-wide context switches per megabyte delivered (3 trials, 10 s): Raw 10, SSH-L 43, WG 105, OV-U 1,350, OV-T 1,317, SSH-W 1,361. OpenVPN and SSH-W wake up roughly once per packet; wireguard-go batches packets across reads and writes and incurs about 13× fewer switches.</w:t>
      </w:r>
    </w:p>
    <w:p>
      <w:pPr>
        <w:keepNext/>
        <w:spacing w:after="20" w:before="40"/>
        <w:jc w:val="center"/>
      </w:pPr>
      <w:r>
        <w:drawing>
          <wp:inline distT="0" distB="0" distL="0" distR="0">
            <wp:extent cx="2971800" cy="15430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71800" cy="1543050"/>
                    </a:xfrm>
                    <a:prstGeom prst="rect">
                      <a:avLst/>
                    </a:prstGeom>
                  </pic:spPr>
                </pic:pic>
              </a:graphicData>
            </a:graphic>
          </wp:inline>
        </w:drawing>
      </w:r>
    </w:p>
    <w:p>
      <w:pPr>
        <w:spacing w:after="90" w:before="20" w:line="216"/>
        <w:jc w:val="both"/>
      </w:pPr>
      <w:r>
        <w:rPr>
          <w:rFonts w:ascii="Times New Roman" w:cs="Times New Roman" w:eastAsia="Times New Roman" w:hAnsi="Times New Roman"/>
          <w:b/>
          <w:bCs/>
          <w:sz w:val="16"/>
          <w:szCs w:val="16"/>
        </w:rPr>
        <w:t xml:space="preserve">Figure 4. </w:t>
      </w:r>
      <w:r>
        <w:rPr>
          <w:rFonts w:ascii="Times New Roman" w:cs="Times New Roman" w:eastAsia="Times New Roman" w:hAnsi="Times New Roman"/>
          <w:sz w:val="16"/>
          <w:szCs w:val="16"/>
        </w:rPr>
        <w:t xml:space="preserve">Throughput vs. context switches per delivered megabyte (mean of 3 runs, log–log). The fit has slope -0.69 and r = -0.95.</w:t>
      </w:r>
    </w:p>
    <w:p>
      <w:pPr>
        <w:spacing w:after="40" w:before="0" w:line="228"/>
        <w:jc w:val="both"/>
      </w:pPr>
      <w:r>
        <w:rPr>
          <w:rFonts w:ascii="Times New Roman" w:cs="Times New Roman" w:eastAsia="Times New Roman" w:hAnsi="Times New Roman"/>
          <w:sz w:val="18"/>
          <w:szCs w:val="18"/>
        </w:rPr>
        <w:t xml:space="preserve">Across the six configurations throughput falls almost monotonically with switching rate (r = -0.95, Figure 4). Correlation over six points does not prove causation by itself, but combined with the cipher-swap control and the saturated CPUs it is the most consistent explanation of the gap.</w:t>
      </w:r>
    </w:p>
    <w:p>
      <w:pPr>
        <w:spacing w:after="40" w:line="228"/>
        <w:jc w:val="both"/>
      </w:pPr>
      <w:r>
        <w:rPr>
          <w:rFonts w:ascii="Times New Roman" w:cs="Times New Roman" w:eastAsia="Times New Roman" w:hAnsi="Times New Roman"/>
          <w:b/>
          <w:bCs/>
          <w:sz w:val="18"/>
          <w:szCs w:val="18"/>
        </w:rPr>
        <w:t xml:space="preserve">(iv) Multi-core scaling. </w:t>
      </w:r>
      <w:r>
        <w:rPr>
          <w:rFonts w:ascii="Times New Roman" w:cs="Times New Roman" w:eastAsia="Times New Roman" w:hAnsi="Times New Roman"/>
          <w:sz w:val="18"/>
          <w:szCs w:val="18"/>
        </w:rPr>
        <w:t xml:space="preserve">Only WireGuard benefited from four parallel streams (1.58 → 1.97 Gbit/s, +25%), because wireguard-go spreads encryption across goroutines. OpenVPN, ssh and sshd each process a tunnel in one thread, so extra streams only share the same core (OV-U 712, SSH-L 4.09 Gbit/s with four streams).</w:t>
      </w:r>
    </w:p>
    <w:p>
      <w:pPr>
        <w:spacing w:after="40" w:line="228"/>
        <w:jc w:val="both"/>
      </w:pPr>
      <w:r>
        <w:rPr>
          <w:rFonts w:ascii="Times New Roman" w:cs="Times New Roman" w:eastAsia="Times New Roman" w:hAnsi="Times New Roman"/>
          <w:b/>
          <w:bCs/>
          <w:sz w:val="18"/>
          <w:szCs w:val="18"/>
        </w:rPr>
        <w:t xml:space="preserve">Edge-gateway projection. </w:t>
      </w:r>
      <w:r>
        <w:rPr>
          <w:rFonts w:ascii="Times New Roman" w:cs="Times New Roman" w:eastAsia="Times New Roman" w:hAnsi="Times New Roman"/>
          <w:sz w:val="18"/>
          <w:szCs w:val="18"/>
        </w:rPr>
        <w:t xml:space="preserve">M6 converts these results into a hardware budget. Per payload byte, OpenVPN-UDP cost 53 cycles, SSH-W 72, WireGuard 20, SSH-L 10.4 and raw forwarding 1.3. On a single 1 GHz core and assuming similar cycles per byte (a rough approximation across instruction sets), the same software would saturate near 152 Mbit/s for OpenVPN and 409 Mbit/s for WireGuard—an order-of-magnitude gap that matters for low-power gateways exposed to traffic floods.</w:t>
      </w:r>
    </w:p>
    <w:p>
      <w:pPr>
        <w:spacing w:after="40" w:line="228"/>
        <w:jc w:val="both"/>
      </w:pPr>
      <w:r>
        <w:rPr>
          <w:rFonts w:ascii="Times New Roman" w:cs="Times New Roman" w:eastAsia="Times New Roman" w:hAnsi="Times New Roman"/>
          <w:b/>
          <w:bCs/>
          <w:sz w:val="18"/>
          <w:szCs w:val="18"/>
        </w:rPr>
        <w:t xml:space="preserve">Overhead and latency. </w:t>
      </w:r>
      <w:r>
        <w:rPr>
          <w:rFonts w:ascii="Times New Roman" w:cs="Times New Roman" w:eastAsia="Times New Roman" w:hAnsi="Times New Roman"/>
          <w:sz w:val="18"/>
          <w:szCs w:val="18"/>
        </w:rPr>
        <w:t xml:space="preserve">Measured goodput ratios match header arithmetic: WireGuard’s 32-byte header and tag plus UDP/IP outer headers predict 91.6% for 1368-byte payloads; we measured 92.4%. All tunnels added 43–113 µs to a 64-byte round trip; WireGuard’s higher value reflects goroutine scheduling in wireguard-go. On the 20 ms path the extra delay was below 0.4 ms for every tunnel.</w:t>
      </w:r>
    </w:p>
    <w:p>
      <w:pPr>
        <w:keepNext/>
        <w:spacing w:after="20" w:before="40"/>
        <w:jc w:val="center"/>
      </w:pPr>
      <w:r>
        <w:drawing>
          <wp:inline distT="0" distB="0" distL="0" distR="0">
            <wp:extent cx="2971800" cy="16668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71800" cy="1666875"/>
                    </a:xfrm>
                    <a:prstGeom prst="rect">
                      <a:avLst/>
                    </a:prstGeom>
                  </pic:spPr>
                </pic:pic>
              </a:graphicData>
            </a:graphic>
          </wp:inline>
        </w:drawing>
      </w:r>
    </w:p>
    <w:p>
      <w:pPr>
        <w:spacing w:after="90" w:before="20" w:line="216"/>
        <w:jc w:val="both"/>
      </w:pPr>
      <w:r>
        <w:rPr>
          <w:rFonts w:ascii="Times New Roman" w:cs="Times New Roman" w:eastAsia="Times New Roman" w:hAnsi="Times New Roman"/>
          <w:b/>
          <w:bCs/>
          <w:sz w:val="16"/>
          <w:szCs w:val="16"/>
        </w:rPr>
        <w:t xml:space="preserve">Figure 5. </w:t>
      </w:r>
      <w:r>
        <w:rPr>
          <w:rFonts w:ascii="Times New Roman" w:cs="Times New Roman" w:eastAsia="Times New Roman" w:hAnsi="Times New Roman"/>
          <w:sz w:val="16"/>
          <w:szCs w:val="16"/>
        </w:rPr>
        <w:t xml:space="preserve">CPU attribution during one-stream transfers (a) and 64-byte request/response latency (b). Daemon time includes system calls made by ssh/sshd, openvpn or wireguard-go.</w:t>
      </w:r>
    </w:p>
    <w:p>
      <w:pPr>
        <w:spacing w:after="40" w:line="228"/>
        <w:jc w:val="both"/>
      </w:pPr>
      <w:r>
        <w:rPr>
          <w:rFonts w:ascii="Times New Roman" w:cs="Times New Roman" w:eastAsia="Times New Roman" w:hAnsi="Times New Roman"/>
          <w:b/>
          <w:bCs/>
          <w:sz w:val="18"/>
          <w:szCs w:val="18"/>
        </w:rPr>
        <w:t xml:space="preserve">Where the CPU goes. </w:t>
      </w:r>
      <w:r>
        <w:rPr>
          <w:rFonts w:ascii="Times New Roman" w:cs="Times New Roman" w:eastAsia="Times New Roman" w:hAnsi="Times New Roman"/>
          <w:sz w:val="18"/>
          <w:szCs w:val="18"/>
        </w:rPr>
        <w:t xml:space="preserve">Figure 5a shows that the tunnel daemons themselves consume 145–165% of one vCPU for OpenVPN and SSH-W, close to the two-core budget, while wireguard-go needs 126% for more than twice the throughput. Tail latency (Figure 5b) is 2–3× the median for every tunnel and highest for WireGuard (p99 421 µs), again a scheduler effect of the userspace implementation.</w:t>
      </w:r>
    </w:p>
    <w:p>
      <w:pPr>
        <w:pStyle w:val="Heading2"/>
        <w:keepNext/>
        <w:spacing w:after="30" w:before="80"/>
      </w:pPr>
      <w:r>
        <w:rPr>
          <w:rFonts w:ascii="Times New Roman" w:cs="Times New Roman" w:eastAsia="Times New Roman" w:hAnsi="Times New Roman"/>
          <w:b/>
          <w:bCs/>
          <w:sz w:val="19"/>
          <w:szCs w:val="19"/>
        </w:rPr>
        <w:t xml:space="preserve">4.3 Robustness to Packet Loss (RQ2)</w:t>
      </w:r>
    </w:p>
    <w:p>
      <w:pPr>
        <w:keepNext/>
        <w:spacing w:after="20" w:before="40"/>
        <w:jc w:val="center"/>
      </w:pPr>
      <w:r>
        <w:drawing>
          <wp:inline distT="0" distB="0" distL="0" distR="0">
            <wp:extent cx="2971800" cy="29718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971800" cy="2971800"/>
                    </a:xfrm>
                    <a:prstGeom prst="rect">
                      <a:avLst/>
                    </a:prstGeom>
                  </pic:spPr>
                </pic:pic>
              </a:graphicData>
            </a:graphic>
          </wp:inline>
        </w:drawing>
      </w:r>
    </w:p>
    <w:p>
      <w:pPr>
        <w:spacing w:after="90" w:before="20" w:line="216"/>
        <w:jc w:val="both"/>
      </w:pPr>
      <w:r>
        <w:rPr>
          <w:rFonts w:ascii="Times New Roman" w:cs="Times New Roman" w:eastAsia="Times New Roman" w:hAnsi="Times New Roman"/>
          <w:b/>
          <w:bCs/>
          <w:sz w:val="16"/>
          <w:szCs w:val="16"/>
        </w:rPr>
        <w:t xml:space="preserve">Figure 6. </w:t>
      </w:r>
      <w:r>
        <w:rPr>
          <w:rFonts w:ascii="Times New Roman" w:cs="Times New Roman" w:eastAsia="Times New Roman" w:hAnsi="Times New Roman"/>
          <w:sz w:val="16"/>
          <w:szCs w:val="16"/>
        </w:rPr>
        <w:t xml:space="preserve">Loss sweep on a 100 Mbit/s, 20 ms RTT link with CUBIC (n = 3): absolute throughput (a) and retention R(p) relative to raw TCP (b).</w:t>
      </w:r>
    </w:p>
    <w:p>
      <w:pPr>
        <w:spacing w:after="40" w:before="0" w:line="228"/>
        <w:jc w:val="both"/>
      </w:pPr>
      <w:r>
        <w:rPr>
          <w:rFonts w:ascii="Times New Roman" w:cs="Times New Roman" w:eastAsia="Times New Roman" w:hAnsi="Times New Roman"/>
          <w:sz w:val="18"/>
          <w:szCs w:val="18"/>
        </w:rPr>
        <w:t xml:space="preserve">Figure 6 shows that loss, not the tunnel, dominates: from 0.1% loss upward every configuration falls along the same 1/√p curve as plain TCP [12], and retention stays between 0.87 and 1.02 up to 2%. At 0% the ~5–10% gap of the packet tunnels equals their header overhead.</w:t>
      </w:r>
    </w:p>
    <w:p>
      <w:pPr>
        <w:keepNext/>
        <w:spacing w:after="30" w:before="60" w:line="216"/>
        <w:jc w:val="center"/>
      </w:pPr>
      <w:r>
        <w:rPr>
          <w:rFonts w:ascii="Times New Roman" w:cs="Times New Roman" w:eastAsia="Times New Roman" w:hAnsi="Times New Roman"/>
          <w:b/>
          <w:bCs/>
          <w:sz w:val="16"/>
          <w:szCs w:val="16"/>
        </w:rPr>
        <w:t xml:space="preserve">Table 3. </w:t>
      </w:r>
      <w:r>
        <w:rPr>
          <w:rFonts w:ascii="Times New Roman" w:cs="Times New Roman" w:eastAsia="Times New Roman" w:hAnsi="Times New Roman"/>
          <w:sz w:val="16"/>
          <w:szCs w:val="16"/>
        </w:rPr>
        <w:t xml:space="preserve">Raw TCP on the emulated link vs. the Mathis model T ≈ (MSS/RTT)·√(3/2)/√p [12] (MSS 1448 B, measured RTT).</w:t>
      </w:r>
    </w:p>
    <w:tbl>
      <w:tblPr>
        <w:tblW w:type="dxa" w:w="47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680"/>
        <w:gridCol w:w="680"/>
        <w:gridCol w:w="680"/>
        <w:gridCol w:w="680"/>
        <w:gridCol w:w="680"/>
      </w:tblGrid>
      <w:tr>
        <w:trPr>
          <w:cantSplit/>
          <w:tblHeader/>
        </w:trPr>
        <w:tc>
          <w:tcPr>
            <w:tcW w:type="dxa" w:w="1300"/>
            <w:tcBorders>
              <w:top w:val="single" w:color="000000" w:sz="6"/>
              <w:left w:val="none" w:color="FFFFFF" w:sz="0"/>
              <w:bottom w:val="single" w:color="000000" w:sz="6"/>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b/>
                <w:bCs/>
                <w:sz w:val="13"/>
                <w:szCs w:val="13"/>
              </w:rPr>
              <w:t xml:space="preserve">p (%)</w:t>
            </w:r>
          </w:p>
        </w:tc>
        <w:tc>
          <w:tcPr>
            <w:tcW w:type="dxa" w:w="680"/>
            <w:tcBorders>
              <w:top w:val="single" w:color="000000" w:sz="6"/>
              <w:left w:val="none" w:color="FFFFFF" w:sz="0"/>
              <w:bottom w:val="single" w:color="000000" w:sz="6"/>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b/>
                <w:bCs/>
                <w:sz w:val="13"/>
                <w:szCs w:val="13"/>
              </w:rPr>
              <w:t xml:space="preserve">0.1</w:t>
            </w:r>
          </w:p>
        </w:tc>
        <w:tc>
          <w:tcPr>
            <w:tcW w:type="dxa" w:w="680"/>
            <w:tcBorders>
              <w:top w:val="single" w:color="000000" w:sz="6"/>
              <w:left w:val="none" w:color="FFFFFF" w:sz="0"/>
              <w:bottom w:val="single" w:color="000000" w:sz="6"/>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b/>
                <w:bCs/>
                <w:sz w:val="13"/>
                <w:szCs w:val="13"/>
              </w:rPr>
              <w:t xml:space="preserve">0.5</w:t>
            </w:r>
          </w:p>
        </w:tc>
        <w:tc>
          <w:tcPr>
            <w:tcW w:type="dxa" w:w="680"/>
            <w:tcBorders>
              <w:top w:val="single" w:color="000000" w:sz="6"/>
              <w:left w:val="none" w:color="FFFFFF" w:sz="0"/>
              <w:bottom w:val="single" w:color="000000" w:sz="6"/>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b/>
                <w:bCs/>
                <w:sz w:val="13"/>
                <w:szCs w:val="13"/>
              </w:rPr>
              <w:t xml:space="preserve">1</w:t>
            </w:r>
          </w:p>
        </w:tc>
        <w:tc>
          <w:tcPr>
            <w:tcW w:type="dxa" w:w="680"/>
            <w:tcBorders>
              <w:top w:val="single" w:color="000000" w:sz="6"/>
              <w:left w:val="none" w:color="FFFFFF" w:sz="0"/>
              <w:bottom w:val="single" w:color="000000" w:sz="6"/>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b/>
                <w:bCs/>
                <w:sz w:val="13"/>
                <w:szCs w:val="13"/>
              </w:rPr>
              <w:t xml:space="preserve">2</w:t>
            </w:r>
          </w:p>
        </w:tc>
        <w:tc>
          <w:tcPr>
            <w:tcW w:type="dxa" w:w="680"/>
            <w:tcBorders>
              <w:top w:val="single" w:color="000000" w:sz="6"/>
              <w:left w:val="none" w:color="FFFFFF" w:sz="0"/>
              <w:bottom w:val="single" w:color="000000" w:sz="6"/>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b/>
                <w:bCs/>
                <w:sz w:val="13"/>
                <w:szCs w:val="13"/>
              </w:rPr>
              <w:t xml:space="preserve">5</w:t>
            </w:r>
          </w:p>
        </w:tc>
      </w:tr>
      <w:tr>
        <w:trPr>
          <w:cantSplit/>
          <w:tblHeader w:val="off"/>
        </w:trPr>
        <w:tc>
          <w:tcPr>
            <w:tcW w:type="dxa" w:w="13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sz w:val="13"/>
                <w:szCs w:val="13"/>
              </w:rPr>
              <w:t xml:space="preserve">Model (Mbit/s)</w:t>
            </w:r>
          </w:p>
        </w:tc>
        <w:tc>
          <w:tcPr>
            <w:tcW w:type="dxa" w:w="68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3"/>
                <w:szCs w:val="13"/>
              </w:rPr>
              <w:t xml:space="preserve">21.4</w:t>
            </w:r>
          </w:p>
        </w:tc>
        <w:tc>
          <w:tcPr>
            <w:tcW w:type="dxa" w:w="68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3"/>
                <w:szCs w:val="13"/>
              </w:rPr>
              <w:t xml:space="preserve">9.5</w:t>
            </w:r>
          </w:p>
        </w:tc>
        <w:tc>
          <w:tcPr>
            <w:tcW w:type="dxa" w:w="68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3"/>
                <w:szCs w:val="13"/>
              </w:rPr>
              <w:t xml:space="preserve">6.8</w:t>
            </w:r>
          </w:p>
        </w:tc>
        <w:tc>
          <w:tcPr>
            <w:tcW w:type="dxa" w:w="68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3"/>
                <w:szCs w:val="13"/>
              </w:rPr>
              <w:t xml:space="preserve">4.8</w:t>
            </w:r>
          </w:p>
        </w:tc>
        <w:tc>
          <w:tcPr>
            <w:tcW w:type="dxa" w:w="68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3"/>
                <w:szCs w:val="13"/>
              </w:rPr>
              <w:t xml:space="preserve">3.0</w:t>
            </w:r>
          </w:p>
        </w:tc>
      </w:tr>
      <w:tr>
        <w:trPr>
          <w:cantSplit/>
          <w:tblHeader w:val="off"/>
        </w:trPr>
        <w:tc>
          <w:tcPr>
            <w:tcW w:type="dxa" w:w="1300"/>
            <w:tcBorders>
              <w:top w:val="none" w:color="FFFFFF" w:sz="0"/>
              <w:left w:val="none" w:color="FFFFFF" w:sz="0"/>
              <w:bottom w:val="single" w:color="000000" w:sz="6"/>
              <w:right w:val="none" w:color="FFFFFF" w:sz="0"/>
            </w:tcBorders>
            <w:tcMar>
              <w:top w:type="dxa" w:w="15"/>
              <w:left w:type="dxa" w:w="40"/>
              <w:bottom w:type="dxa" w:w="15"/>
              <w:right w:type="dxa" w:w="40"/>
            </w:tcMar>
          </w:tcPr>
          <w:p>
            <w:pPr>
              <w:keepNext w:val="false"/>
              <w:keepLines/>
              <w:spacing w:after="0" w:line="200"/>
              <w:jc w:val="left"/>
            </w:pPr>
            <w:r>
              <w:rPr>
                <w:rFonts w:ascii="Times New Roman" w:cs="Times New Roman" w:eastAsia="Times New Roman" w:hAnsi="Times New Roman"/>
                <w:sz w:val="13"/>
                <w:szCs w:val="13"/>
              </w:rPr>
              <w:t xml:space="preserve">Measured (Mbit/s)</w:t>
            </w:r>
          </w:p>
        </w:tc>
        <w:tc>
          <w:tcPr>
            <w:tcW w:type="dxa" w:w="680"/>
            <w:tcBorders>
              <w:top w:val="none" w:color="FFFFFF" w:sz="0"/>
              <w:left w:val="none" w:color="FFFFFF" w:sz="0"/>
              <w:bottom w:val="single" w:color="000000" w:sz="6"/>
              <w:right w:val="none" w:color="FFFFFF" w:sz="0"/>
            </w:tcBorders>
            <w:tcMar>
              <w:top w:type="dxa" w:w="15"/>
              <w:left w:type="dxa" w:w="40"/>
              <w:bottom w:type="dxa" w:w="15"/>
              <w:right w:type="dxa" w:w="40"/>
            </w:tcMar>
          </w:tcPr>
          <w:p>
            <w:pPr>
              <w:keepNext w:val="false"/>
              <w:keepLines/>
              <w:spacing w:after="0" w:line="200"/>
              <w:jc w:val="center"/>
            </w:pPr>
            <w:r>
              <w:rPr>
                <w:rFonts w:ascii="Times New Roman" w:cs="Times New Roman" w:eastAsia="Times New Roman" w:hAnsi="Times New Roman"/>
                <w:sz w:val="13"/>
                <w:szCs w:val="13"/>
              </w:rPr>
              <w:t xml:space="preserve">19.9</w:t>
            </w:r>
          </w:p>
        </w:tc>
        <w:tc>
          <w:tcPr>
            <w:tcW w:type="dxa" w:w="680"/>
            <w:tcBorders>
              <w:top w:val="none" w:color="FFFFFF" w:sz="0"/>
              <w:left w:val="none" w:color="FFFFFF" w:sz="0"/>
              <w:bottom w:val="single" w:color="000000" w:sz="6"/>
              <w:right w:val="none" w:color="FFFFFF" w:sz="0"/>
            </w:tcBorders>
            <w:tcMar>
              <w:top w:type="dxa" w:w="15"/>
              <w:left w:type="dxa" w:w="40"/>
              <w:bottom w:type="dxa" w:w="15"/>
              <w:right w:type="dxa" w:w="40"/>
            </w:tcMar>
          </w:tcPr>
          <w:p>
            <w:pPr>
              <w:keepNext w:val="false"/>
              <w:keepLines/>
              <w:spacing w:after="0" w:line="200"/>
              <w:jc w:val="center"/>
            </w:pPr>
            <w:r>
              <w:rPr>
                <w:rFonts w:ascii="Times New Roman" w:cs="Times New Roman" w:eastAsia="Times New Roman" w:hAnsi="Times New Roman"/>
                <w:sz w:val="13"/>
                <w:szCs w:val="13"/>
              </w:rPr>
              <w:t xml:space="preserve">7.5</w:t>
            </w:r>
          </w:p>
        </w:tc>
        <w:tc>
          <w:tcPr>
            <w:tcW w:type="dxa" w:w="680"/>
            <w:tcBorders>
              <w:top w:val="none" w:color="FFFFFF" w:sz="0"/>
              <w:left w:val="none" w:color="FFFFFF" w:sz="0"/>
              <w:bottom w:val="single" w:color="000000" w:sz="6"/>
              <w:right w:val="none" w:color="FFFFFF" w:sz="0"/>
            </w:tcBorders>
            <w:tcMar>
              <w:top w:type="dxa" w:w="15"/>
              <w:left w:type="dxa" w:w="40"/>
              <w:bottom w:type="dxa" w:w="15"/>
              <w:right w:type="dxa" w:w="40"/>
            </w:tcMar>
          </w:tcPr>
          <w:p>
            <w:pPr>
              <w:keepNext w:val="false"/>
              <w:keepLines/>
              <w:spacing w:after="0" w:line="200"/>
              <w:jc w:val="center"/>
            </w:pPr>
            <w:r>
              <w:rPr>
                <w:rFonts w:ascii="Times New Roman" w:cs="Times New Roman" w:eastAsia="Times New Roman" w:hAnsi="Times New Roman"/>
                <w:sz w:val="13"/>
                <w:szCs w:val="13"/>
              </w:rPr>
              <w:t xml:space="preserve">5.7</w:t>
            </w:r>
          </w:p>
        </w:tc>
        <w:tc>
          <w:tcPr>
            <w:tcW w:type="dxa" w:w="680"/>
            <w:tcBorders>
              <w:top w:val="none" w:color="FFFFFF" w:sz="0"/>
              <w:left w:val="none" w:color="FFFFFF" w:sz="0"/>
              <w:bottom w:val="single" w:color="000000" w:sz="6"/>
              <w:right w:val="none" w:color="FFFFFF" w:sz="0"/>
            </w:tcBorders>
            <w:tcMar>
              <w:top w:type="dxa" w:w="15"/>
              <w:left w:type="dxa" w:w="40"/>
              <w:bottom w:type="dxa" w:w="15"/>
              <w:right w:type="dxa" w:w="40"/>
            </w:tcMar>
          </w:tcPr>
          <w:p>
            <w:pPr>
              <w:keepNext w:val="false"/>
              <w:keepLines/>
              <w:spacing w:after="0" w:line="200"/>
              <w:jc w:val="center"/>
            </w:pPr>
            <w:r>
              <w:rPr>
                <w:rFonts w:ascii="Times New Roman" w:cs="Times New Roman" w:eastAsia="Times New Roman" w:hAnsi="Times New Roman"/>
                <w:sz w:val="13"/>
                <w:szCs w:val="13"/>
              </w:rPr>
              <w:t xml:space="preserve">3.3</w:t>
            </w:r>
          </w:p>
        </w:tc>
        <w:tc>
          <w:tcPr>
            <w:tcW w:type="dxa" w:w="680"/>
            <w:tcBorders>
              <w:top w:val="none" w:color="FFFFFF" w:sz="0"/>
              <w:left w:val="none" w:color="FFFFFF" w:sz="0"/>
              <w:bottom w:val="single" w:color="000000" w:sz="6"/>
              <w:right w:val="none" w:color="FFFFFF" w:sz="0"/>
            </w:tcBorders>
            <w:tcMar>
              <w:top w:type="dxa" w:w="15"/>
              <w:left w:type="dxa" w:w="40"/>
              <w:bottom w:type="dxa" w:w="15"/>
              <w:right w:type="dxa" w:w="40"/>
            </w:tcMar>
          </w:tcPr>
          <w:p>
            <w:pPr>
              <w:keepNext w:val="false"/>
              <w:keepLines/>
              <w:spacing w:after="0" w:line="200"/>
              <w:jc w:val="center"/>
            </w:pPr>
            <w:r>
              <w:rPr>
                <w:rFonts w:ascii="Times New Roman" w:cs="Times New Roman" w:eastAsia="Times New Roman" w:hAnsi="Times New Roman"/>
                <w:sz w:val="13"/>
                <w:szCs w:val="13"/>
              </w:rPr>
              <w:t xml:space="preserve">1.2</w:t>
            </w:r>
          </w:p>
        </w:tc>
      </w:tr>
    </w:tbl>
    <w:p>
      <w:pPr>
        <w:spacing w:after="40" w:before="40" w:line="228"/>
        <w:jc w:val="both"/>
      </w:pPr>
      <w:r>
        <w:rPr>
          <w:rFonts w:ascii="Times New Roman" w:cs="Times New Roman" w:eastAsia="Times New Roman" w:hAnsi="Times New Roman"/>
          <w:sz w:val="18"/>
          <w:szCs w:val="18"/>
        </w:rPr>
        <w:t xml:space="preserve">The emulator reproduces the expected trend; measured values sit 7–30% below the model up to 2% loss and fall further at 5%, where retransmission timeouts—ignored by the simple model—dominate.</w:t>
      </w:r>
    </w:p>
    <w:p>
      <w:pPr>
        <w:spacing w:after="40" w:line="228"/>
        <w:jc w:val="both"/>
      </w:pPr>
      <w:r>
        <w:rPr>
          <w:rFonts w:ascii="Times New Roman" w:cs="Times New Roman" w:eastAsia="Times New Roman" w:hAnsi="Times New Roman"/>
          <w:b/>
          <w:bCs/>
          <w:sz w:val="18"/>
          <w:szCs w:val="18"/>
        </w:rPr>
        <w:t xml:space="preserve">No TCP-over-TCP collapse with CUBIC. </w:t>
      </w:r>
      <w:r>
        <w:rPr>
          <w:rFonts w:ascii="Times New Roman" w:cs="Times New Roman" w:eastAsia="Times New Roman" w:hAnsi="Times New Roman"/>
          <w:sz w:val="18"/>
          <w:szCs w:val="18"/>
        </w:rPr>
        <w:t xml:space="preserve">For the two genuine TCP-in-TCP tunnels (OV-T, SSH-W) the inner connection’s own retransmissions fell to zero at p ≥ 2% (outer: 641 and 199 per run): the outer TCP repairs every loss, and the inner flow sees only delay. Their throughput at 5% loss (1.54 and 1.58 Mbit/s) was not below raw TCP (1.20). SSH-L, which is not TCP-over-TCP, behaved exactly like raw TCP.</w:t>
      </w:r>
    </w:p>
    <w:p>
      <w:pPr>
        <w:keepNext/>
        <w:spacing w:after="30" w:before="60" w:line="216"/>
        <w:jc w:val="center"/>
      </w:pPr>
      <w:r>
        <w:rPr>
          <w:rFonts w:ascii="Times New Roman" w:cs="Times New Roman" w:eastAsia="Times New Roman" w:hAnsi="Times New Roman"/>
          <w:b/>
          <w:bCs/>
          <w:sz w:val="16"/>
          <w:szCs w:val="16"/>
        </w:rPr>
        <w:t xml:space="preserve">Table 4. </w:t>
      </w:r>
      <w:r>
        <w:rPr>
          <w:rFonts w:ascii="Times New Roman" w:cs="Times New Roman" w:eastAsia="Times New Roman" w:hAnsi="Times New Roman"/>
          <w:sz w:val="16"/>
          <w:szCs w:val="16"/>
        </w:rPr>
        <w:t xml:space="preserve">Mean retransmitted segments per 22 s run, inner / outer TCP (CUBIC, n = 3). For Raw, WG and OV-U the inner flow is the only TCP on the lossy path.</w:t>
      </w:r>
    </w:p>
    <w:tbl>
      <w:tblPr>
        <w:tblW w:type="dxa" w:w="4500"/>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1000"/>
        <w:gridCol w:w="1000"/>
        <w:gridCol w:w="700"/>
      </w:tblGrid>
      <w:tr>
        <w:trPr>
          <w:cantSplit/>
          <w:tblHeader/>
        </w:trPr>
        <w:tc>
          <w:tcPr>
            <w:tcW w:type="dxa" w:w="800"/>
            <w:tcBorders>
              <w:top w:val="single" w:color="000000" w:sz="6"/>
              <w:left w:val="none" w:color="FFFFFF" w:sz="0"/>
              <w:bottom w:val="single" w:color="000000" w:sz="6"/>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b/>
                <w:bCs/>
                <w:sz w:val="13"/>
                <w:szCs w:val="13"/>
              </w:rPr>
              <w:t xml:space="preserve">Config</w:t>
            </w:r>
          </w:p>
        </w:tc>
        <w:tc>
          <w:tcPr>
            <w:tcW w:type="dxa" w:w="1000"/>
            <w:tcBorders>
              <w:top w:val="single" w:color="000000" w:sz="6"/>
              <w:left w:val="none" w:color="FFFFFF" w:sz="0"/>
              <w:bottom w:val="single" w:color="000000" w:sz="6"/>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b/>
                <w:bCs/>
                <w:sz w:val="13"/>
                <w:szCs w:val="13"/>
              </w:rPr>
              <w:t xml:space="preserve">p = 0.5%</w:t>
            </w:r>
          </w:p>
        </w:tc>
        <w:tc>
          <w:tcPr>
            <w:tcW w:type="dxa" w:w="1000"/>
            <w:tcBorders>
              <w:top w:val="single" w:color="000000" w:sz="6"/>
              <w:left w:val="none" w:color="FFFFFF" w:sz="0"/>
              <w:bottom w:val="single" w:color="000000" w:sz="6"/>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b/>
                <w:bCs/>
                <w:sz w:val="13"/>
                <w:szCs w:val="13"/>
              </w:rPr>
              <w:t xml:space="preserve">p = 2%</w:t>
            </w:r>
          </w:p>
        </w:tc>
        <w:tc>
          <w:tcPr>
            <w:tcW w:type="dxa" w:w="1000"/>
            <w:tcBorders>
              <w:top w:val="single" w:color="000000" w:sz="6"/>
              <w:left w:val="none" w:color="FFFFFF" w:sz="0"/>
              <w:bottom w:val="single" w:color="000000" w:sz="6"/>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b/>
                <w:bCs/>
                <w:sz w:val="13"/>
                <w:szCs w:val="13"/>
              </w:rPr>
              <w:t xml:space="preserve">p = 5%</w:t>
            </w:r>
          </w:p>
        </w:tc>
        <w:tc>
          <w:tcPr>
            <w:tcW w:type="dxa" w:w="700"/>
            <w:tcBorders>
              <w:top w:val="single" w:color="000000" w:sz="6"/>
              <w:left w:val="none" w:color="FFFFFF" w:sz="0"/>
              <w:bottom w:val="single" w:color="000000" w:sz="6"/>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b/>
                <w:bCs/>
                <w:sz w:val="13"/>
                <w:szCs w:val="13"/>
              </w:rPr>
              <w:t xml:space="preserve">R(2%)</w:t>
            </w:r>
          </w:p>
        </w:tc>
      </w:tr>
      <w:tr>
        <w:trPr>
          <w:cantSplit/>
          <w:tblHeader w:val="off"/>
        </w:trPr>
        <w:tc>
          <w:tcPr>
            <w:tcW w:type="dxa" w:w="8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sz w:val="13"/>
                <w:szCs w:val="13"/>
              </w:rPr>
              <w:t xml:space="preserve">Raw</w:t>
            </w:r>
          </w:p>
        </w:tc>
        <w:tc>
          <w:tcPr>
            <w:tcW w:type="dxa" w:w="10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3"/>
                <w:szCs w:val="13"/>
              </w:rPr>
              <w:t xml:space="preserve">84 / —</w:t>
            </w:r>
          </w:p>
        </w:tc>
        <w:tc>
          <w:tcPr>
            <w:tcW w:type="dxa" w:w="10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3"/>
                <w:szCs w:val="13"/>
              </w:rPr>
              <w:t xml:space="preserve">121 / —</w:t>
            </w:r>
          </w:p>
        </w:tc>
        <w:tc>
          <w:tcPr>
            <w:tcW w:type="dxa" w:w="10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3"/>
                <w:szCs w:val="13"/>
              </w:rPr>
              <w:t xml:space="preserve">138 / —</w:t>
            </w:r>
          </w:p>
        </w:tc>
        <w:tc>
          <w:tcPr>
            <w:tcW w:type="dxa" w:w="7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3"/>
                <w:szCs w:val="13"/>
              </w:rPr>
              <w:t xml:space="preserve">1.00</w:t>
            </w:r>
          </w:p>
        </w:tc>
      </w:tr>
      <w:tr>
        <w:trPr>
          <w:cantSplit/>
          <w:tblHeader w:val="off"/>
        </w:trPr>
        <w:tc>
          <w:tcPr>
            <w:tcW w:type="dxa" w:w="8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sz w:val="13"/>
                <w:szCs w:val="13"/>
              </w:rPr>
              <w:t xml:space="preserve">WG</w:t>
            </w:r>
          </w:p>
        </w:tc>
        <w:tc>
          <w:tcPr>
            <w:tcW w:type="dxa" w:w="10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3"/>
                <w:szCs w:val="13"/>
              </w:rPr>
              <w:t xml:space="preserve">77 / —</w:t>
            </w:r>
          </w:p>
        </w:tc>
        <w:tc>
          <w:tcPr>
            <w:tcW w:type="dxa" w:w="10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3"/>
                <w:szCs w:val="13"/>
              </w:rPr>
              <w:t xml:space="preserve">117 / —</w:t>
            </w:r>
          </w:p>
        </w:tc>
        <w:tc>
          <w:tcPr>
            <w:tcW w:type="dxa" w:w="10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3"/>
                <w:szCs w:val="13"/>
              </w:rPr>
              <w:t xml:space="preserve">126 / —</w:t>
            </w:r>
          </w:p>
        </w:tc>
        <w:tc>
          <w:tcPr>
            <w:tcW w:type="dxa" w:w="7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3"/>
                <w:szCs w:val="13"/>
              </w:rPr>
              <w:t xml:space="preserve">0.89</w:t>
            </w:r>
          </w:p>
        </w:tc>
      </w:tr>
      <w:tr>
        <w:trPr>
          <w:cantSplit/>
          <w:tblHeader w:val="off"/>
        </w:trPr>
        <w:tc>
          <w:tcPr>
            <w:tcW w:type="dxa" w:w="8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sz w:val="13"/>
                <w:szCs w:val="13"/>
              </w:rPr>
              <w:t xml:space="preserve">OV-U</w:t>
            </w:r>
          </w:p>
        </w:tc>
        <w:tc>
          <w:tcPr>
            <w:tcW w:type="dxa" w:w="10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3"/>
                <w:szCs w:val="13"/>
              </w:rPr>
              <w:t xml:space="preserve">81 / —</w:t>
            </w:r>
          </w:p>
        </w:tc>
        <w:tc>
          <w:tcPr>
            <w:tcW w:type="dxa" w:w="10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3"/>
                <w:szCs w:val="13"/>
              </w:rPr>
              <w:t xml:space="preserve">114 / —</w:t>
            </w:r>
          </w:p>
        </w:tc>
        <w:tc>
          <w:tcPr>
            <w:tcW w:type="dxa" w:w="10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3"/>
                <w:szCs w:val="13"/>
              </w:rPr>
              <w:t xml:space="preserve">144 / —</w:t>
            </w:r>
          </w:p>
        </w:tc>
        <w:tc>
          <w:tcPr>
            <w:tcW w:type="dxa" w:w="7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3"/>
                <w:szCs w:val="13"/>
              </w:rPr>
              <w:t xml:space="preserve">0.91</w:t>
            </w:r>
          </w:p>
        </w:tc>
      </w:tr>
      <w:tr>
        <w:trPr>
          <w:cantSplit/>
          <w:tblHeader w:val="off"/>
        </w:trPr>
        <w:tc>
          <w:tcPr>
            <w:tcW w:type="dxa" w:w="8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sz w:val="13"/>
                <w:szCs w:val="13"/>
              </w:rPr>
              <w:t xml:space="preserve">OV-T</w:t>
            </w:r>
          </w:p>
        </w:tc>
        <w:tc>
          <w:tcPr>
            <w:tcW w:type="dxa" w:w="10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3"/>
                <w:szCs w:val="13"/>
              </w:rPr>
              <w:t xml:space="preserve">551 / 355</w:t>
            </w:r>
          </w:p>
        </w:tc>
        <w:tc>
          <w:tcPr>
            <w:tcW w:type="dxa" w:w="10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3"/>
                <w:szCs w:val="13"/>
              </w:rPr>
              <w:t xml:space="preserve">0 / 641</w:t>
            </w:r>
          </w:p>
        </w:tc>
        <w:tc>
          <w:tcPr>
            <w:tcW w:type="dxa" w:w="10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3"/>
                <w:szCs w:val="13"/>
              </w:rPr>
              <w:t xml:space="preserve">0 / 440</w:t>
            </w:r>
          </w:p>
        </w:tc>
        <w:tc>
          <w:tcPr>
            <w:tcW w:type="dxa" w:w="7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3"/>
                <w:szCs w:val="13"/>
              </w:rPr>
              <w:t xml:space="preserve">0.87</w:t>
            </w:r>
          </w:p>
        </w:tc>
      </w:tr>
      <w:tr>
        <w:trPr>
          <w:cantSplit/>
          <w:tblHeader w:val="off"/>
        </w:trPr>
        <w:tc>
          <w:tcPr>
            <w:tcW w:type="dxa" w:w="8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sz w:val="13"/>
                <w:szCs w:val="13"/>
              </w:rPr>
              <w:t xml:space="preserve">SSH-L</w:t>
            </w:r>
          </w:p>
        </w:tc>
        <w:tc>
          <w:tcPr>
            <w:tcW w:type="dxa" w:w="10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3"/>
                <w:szCs w:val="13"/>
              </w:rPr>
              <w:t xml:space="preserve">46 / 113</w:t>
            </w:r>
          </w:p>
        </w:tc>
        <w:tc>
          <w:tcPr>
            <w:tcW w:type="dxa" w:w="10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3"/>
                <w:szCs w:val="13"/>
              </w:rPr>
              <w:t xml:space="preserve">23 / 208</w:t>
            </w:r>
          </w:p>
        </w:tc>
        <w:tc>
          <w:tcPr>
            <w:tcW w:type="dxa" w:w="10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3"/>
                <w:szCs w:val="13"/>
              </w:rPr>
              <w:t xml:space="preserve">8 / 254</w:t>
            </w:r>
          </w:p>
        </w:tc>
        <w:tc>
          <w:tcPr>
            <w:tcW w:type="dxa" w:w="7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3"/>
                <w:szCs w:val="13"/>
              </w:rPr>
              <w:t xml:space="preserve">1.02</w:t>
            </w:r>
          </w:p>
        </w:tc>
      </w:tr>
      <w:tr>
        <w:trPr>
          <w:cantSplit/>
          <w:tblHeader w:val="off"/>
        </w:trPr>
        <w:tc>
          <w:tcPr>
            <w:tcW w:type="dxa" w:w="800"/>
            <w:tcBorders>
              <w:top w:val="none" w:color="FFFFFF" w:sz="0"/>
              <w:left w:val="none" w:color="FFFFFF" w:sz="0"/>
              <w:bottom w:val="single" w:color="000000" w:sz="6"/>
              <w:right w:val="none" w:color="FFFFFF" w:sz="0"/>
            </w:tcBorders>
            <w:tcMar>
              <w:top w:type="dxa" w:w="15"/>
              <w:left w:type="dxa" w:w="40"/>
              <w:bottom w:type="dxa" w:w="15"/>
              <w:right w:type="dxa" w:w="40"/>
            </w:tcMar>
          </w:tcPr>
          <w:p>
            <w:pPr>
              <w:keepNext w:val="false"/>
              <w:keepLines/>
              <w:spacing w:after="0" w:line="200"/>
              <w:jc w:val="left"/>
            </w:pPr>
            <w:r>
              <w:rPr>
                <w:rFonts w:ascii="Times New Roman" w:cs="Times New Roman" w:eastAsia="Times New Roman" w:hAnsi="Times New Roman"/>
                <w:sz w:val="13"/>
                <w:szCs w:val="13"/>
              </w:rPr>
              <w:t xml:space="preserve">SSH-W</w:t>
            </w:r>
          </w:p>
        </w:tc>
        <w:tc>
          <w:tcPr>
            <w:tcW w:type="dxa" w:w="1000"/>
            <w:tcBorders>
              <w:top w:val="none" w:color="FFFFFF" w:sz="0"/>
              <w:left w:val="none" w:color="FFFFFF" w:sz="0"/>
              <w:bottom w:val="single" w:color="000000" w:sz="6"/>
              <w:right w:val="none" w:color="FFFFFF" w:sz="0"/>
            </w:tcBorders>
            <w:tcMar>
              <w:top w:type="dxa" w:w="15"/>
              <w:left w:type="dxa" w:w="40"/>
              <w:bottom w:type="dxa" w:w="15"/>
              <w:right w:type="dxa" w:w="40"/>
            </w:tcMar>
          </w:tcPr>
          <w:p>
            <w:pPr>
              <w:keepNext w:val="false"/>
              <w:keepLines/>
              <w:spacing w:after="0" w:line="200"/>
              <w:jc w:val="center"/>
            </w:pPr>
            <w:r>
              <w:rPr>
                <w:rFonts w:ascii="Times New Roman" w:cs="Times New Roman" w:eastAsia="Times New Roman" w:hAnsi="Times New Roman"/>
                <w:sz w:val="13"/>
                <w:szCs w:val="13"/>
              </w:rPr>
              <w:t xml:space="preserve">37 / 1,228</w:t>
            </w:r>
          </w:p>
        </w:tc>
        <w:tc>
          <w:tcPr>
            <w:tcW w:type="dxa" w:w="1000"/>
            <w:tcBorders>
              <w:top w:val="none" w:color="FFFFFF" w:sz="0"/>
              <w:left w:val="none" w:color="FFFFFF" w:sz="0"/>
              <w:bottom w:val="single" w:color="000000" w:sz="6"/>
              <w:right w:val="none" w:color="FFFFFF" w:sz="0"/>
            </w:tcBorders>
            <w:tcMar>
              <w:top w:type="dxa" w:w="15"/>
              <w:left w:type="dxa" w:w="40"/>
              <w:bottom w:type="dxa" w:w="15"/>
              <w:right w:type="dxa" w:w="40"/>
            </w:tcMar>
          </w:tcPr>
          <w:p>
            <w:pPr>
              <w:keepNext w:val="false"/>
              <w:keepLines/>
              <w:spacing w:after="0" w:line="200"/>
              <w:jc w:val="center"/>
            </w:pPr>
            <w:r>
              <w:rPr>
                <w:rFonts w:ascii="Times New Roman" w:cs="Times New Roman" w:eastAsia="Times New Roman" w:hAnsi="Times New Roman"/>
                <w:sz w:val="13"/>
                <w:szCs w:val="13"/>
              </w:rPr>
              <w:t xml:space="preserve">0 / 199</w:t>
            </w:r>
          </w:p>
        </w:tc>
        <w:tc>
          <w:tcPr>
            <w:tcW w:type="dxa" w:w="1000"/>
            <w:tcBorders>
              <w:top w:val="none" w:color="FFFFFF" w:sz="0"/>
              <w:left w:val="none" w:color="FFFFFF" w:sz="0"/>
              <w:bottom w:val="single" w:color="000000" w:sz="6"/>
              <w:right w:val="none" w:color="FFFFFF" w:sz="0"/>
            </w:tcBorders>
            <w:tcMar>
              <w:top w:type="dxa" w:w="15"/>
              <w:left w:type="dxa" w:w="40"/>
              <w:bottom w:type="dxa" w:w="15"/>
              <w:right w:type="dxa" w:w="40"/>
            </w:tcMar>
          </w:tcPr>
          <w:p>
            <w:pPr>
              <w:keepNext w:val="false"/>
              <w:keepLines/>
              <w:spacing w:after="0" w:line="200"/>
              <w:jc w:val="center"/>
            </w:pPr>
            <w:r>
              <w:rPr>
                <w:rFonts w:ascii="Times New Roman" w:cs="Times New Roman" w:eastAsia="Times New Roman" w:hAnsi="Times New Roman"/>
                <w:sz w:val="13"/>
                <w:szCs w:val="13"/>
              </w:rPr>
              <w:t xml:space="preserve">0 / 341</w:t>
            </w:r>
          </w:p>
        </w:tc>
        <w:tc>
          <w:tcPr>
            <w:tcW w:type="dxa" w:w="700"/>
            <w:tcBorders>
              <w:top w:val="none" w:color="FFFFFF" w:sz="0"/>
              <w:left w:val="none" w:color="FFFFFF" w:sz="0"/>
              <w:bottom w:val="single" w:color="000000" w:sz="6"/>
              <w:right w:val="none" w:color="FFFFFF" w:sz="0"/>
            </w:tcBorders>
            <w:tcMar>
              <w:top w:type="dxa" w:w="15"/>
              <w:left w:type="dxa" w:w="40"/>
              <w:bottom w:type="dxa" w:w="15"/>
              <w:right w:type="dxa" w:w="40"/>
            </w:tcMar>
          </w:tcPr>
          <w:p>
            <w:pPr>
              <w:keepNext w:val="false"/>
              <w:keepLines/>
              <w:spacing w:after="0" w:line="200"/>
              <w:jc w:val="center"/>
            </w:pPr>
            <w:r>
              <w:rPr>
                <w:rFonts w:ascii="Times New Roman" w:cs="Times New Roman" w:eastAsia="Times New Roman" w:hAnsi="Times New Roman"/>
                <w:sz w:val="13"/>
                <w:szCs w:val="13"/>
              </w:rPr>
              <w:t xml:space="preserve">1.02</w:t>
            </w:r>
          </w:p>
        </w:tc>
      </w:tr>
    </w:tbl>
    <w:p>
      <w:pPr>
        <w:spacing w:after="40" w:before="40" w:line="228"/>
        <w:jc w:val="both"/>
      </w:pPr>
      <w:r>
        <w:rPr>
          <w:rFonts w:ascii="Times New Roman" w:cs="Times New Roman" w:eastAsia="Times New Roman" w:hAnsi="Times New Roman"/>
          <w:sz w:val="18"/>
          <w:szCs w:val="18"/>
        </w:rPr>
        <w:t xml:space="preserve">In SSH-L the “inner” legs run over loopback, so its few inner retransmissions are local; its outer count is the SSH connection itself.</w:t>
      </w:r>
    </w:p>
    <w:p>
      <w:pPr>
        <w:keepNext/>
        <w:spacing w:after="20" w:before="40"/>
        <w:jc w:val="center"/>
      </w:pPr>
      <w:r>
        <w:drawing>
          <wp:inline distT="0" distB="0" distL="0" distR="0">
            <wp:extent cx="2971800" cy="14859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971800" cy="1485900"/>
                    </a:xfrm>
                    <a:prstGeom prst="rect">
                      <a:avLst/>
                    </a:prstGeom>
                  </pic:spPr>
                </pic:pic>
              </a:graphicData>
            </a:graphic>
          </wp:inline>
        </w:drawing>
      </w:r>
    </w:p>
    <w:p>
      <w:pPr>
        <w:spacing w:after="90" w:before="20" w:line="216"/>
        <w:jc w:val="both"/>
      </w:pPr>
      <w:r>
        <w:rPr>
          <w:rFonts w:ascii="Times New Roman" w:cs="Times New Roman" w:eastAsia="Times New Roman" w:hAnsi="Times New Roman"/>
          <w:b/>
          <w:bCs/>
          <w:sz w:val="16"/>
          <w:szCs w:val="16"/>
        </w:rPr>
        <w:t xml:space="preserve">Figure 7. </w:t>
      </w:r>
      <w:r>
        <w:rPr>
          <w:rFonts w:ascii="Times New Roman" w:cs="Times New Roman" w:eastAsia="Times New Roman" w:hAnsi="Times New Roman"/>
          <w:sz w:val="16"/>
          <w:szCs w:val="16"/>
        </w:rPr>
        <w:t xml:space="preserve">Congestion-control ablation at 1% and 5% loss (n = 3). With BBR the UDP tunnel keeps pace with raw TCP while TCP-in-TCP tunnels lose 28–43%.</w:t>
      </w:r>
    </w:p>
    <w:p>
      <w:pPr>
        <w:spacing w:after="40" w:line="228"/>
        <w:jc w:val="both"/>
      </w:pPr>
      <w:r>
        <w:rPr>
          <w:rFonts w:ascii="Times New Roman" w:cs="Times New Roman" w:eastAsia="Times New Roman" w:hAnsi="Times New Roman"/>
          <w:b/>
          <w:bCs/>
          <w:sz w:val="18"/>
          <w:szCs w:val="18"/>
        </w:rPr>
        <w:t xml:space="preserve">BBR exposes a stacking penalty. </w:t>
      </w:r>
      <w:r>
        <w:rPr>
          <w:rFonts w:ascii="Times New Roman" w:cs="Times New Roman" w:eastAsia="Times New Roman" w:hAnsi="Times New Roman"/>
          <w:sz w:val="18"/>
          <w:szCs w:val="18"/>
        </w:rPr>
        <w:t xml:space="preserve">BBR ignores random loss, so raw TCP and WireGuard sustained 93 and 90 Mbit/s at 1% loss (Figure 7). The TCP-based tunnels reached only 55 (OV-T), 53 (SSH-W) and 64 Mbit/s (SSH-L). Here the outer connection’s head-of-line blocking inflates the delay samples of the inner flow, a milder form of the interaction predicted by Titz and by Kim et al. [9, 19]. When the bottleneck is CUBIC’s loss response, this penalty is hidden.</w:t>
      </w:r>
    </w:p>
    <w:p>
      <w:pPr>
        <w:pStyle w:val="Heading2"/>
        <w:keepNext/>
        <w:spacing w:after="30" w:before="80"/>
      </w:pPr>
      <w:r>
        <w:rPr>
          <w:rFonts w:ascii="Times New Roman" w:cs="Times New Roman" w:eastAsia="Times New Roman" w:hAnsi="Times New Roman"/>
          <w:b/>
          <w:bCs/>
          <w:sz w:val="19"/>
          <w:szCs w:val="19"/>
        </w:rPr>
        <w:t xml:space="preserve">4.4 Security Comparison (RQ3)</w:t>
      </w:r>
    </w:p>
    <w:p>
      <w:pPr>
        <w:spacing w:after="40" w:before="0" w:line="228"/>
        <w:jc w:val="both"/>
      </w:pPr>
      <w:r>
        <w:rPr>
          <w:rFonts w:ascii="Times New Roman" w:cs="Times New Roman" w:eastAsia="Times New Roman" w:hAnsi="Times New Roman"/>
          <w:sz w:val="18"/>
          <w:szCs w:val="18"/>
        </w:rPr>
        <w:t xml:space="preserve">Table 5 combines our probes with the literature. From the attacker position, WireGuard answered none of 2 unauthenticated datagrams, including a correctly typed handshake-initiation message, because responses require a valid MAC keyed by the server’s public key [5]. OpenVPN with tls-crypt also stayed silent; </w:t>
      </w:r>
      <w:r>
        <w:rPr>
          <w:rFonts w:ascii="Times New Roman" w:cs="Times New Roman" w:eastAsia="Times New Roman" w:hAnsi="Times New Roman"/>
          <w:i/>
          <w:iCs/>
          <w:sz w:val="18"/>
          <w:szCs w:val="18"/>
        </w:rPr>
        <w:t xml:space="preserve">without</w:t>
      </w:r>
      <w:r>
        <w:rPr>
          <w:rFonts w:ascii="Times New Roman" w:cs="Times New Roman" w:eastAsia="Times New Roman" w:hAnsi="Times New Roman"/>
          <w:sz w:val="18"/>
          <w:szCs w:val="18"/>
        </w:rPr>
        <w:t xml:space="preserve"> tls-crypt the same reset packet drew a 26-byte reply, exactly the behaviour exploited for fingerprinting [20]. sshd returned its banner, </w:t>
      </w:r>
      <w:r>
        <w:rPr>
          <w:rFonts w:ascii="Courier New" w:cs="Courier New" w:eastAsia="Courier New" w:hAnsi="Courier New"/>
          <w:sz w:val="16"/>
          <w:szCs w:val="16"/>
        </w:rPr>
        <w:t xml:space="preserve">SSH-2.0-OpenSSH_10.6</w:t>
      </w:r>
      <w:r>
        <w:rPr>
          <w:rFonts w:ascii="Times New Roman" w:cs="Times New Roman" w:eastAsia="Times New Roman" w:hAnsi="Times New Roman"/>
          <w:sz w:val="18"/>
          <w:szCs w:val="18"/>
        </w:rPr>
        <w:t xml:space="preserve">, to any TCP client, disclosing product and version. OpenSSH negotiated the hybrid post-quantum key exchange mlkem768x25519-sha256 and applies strict-KEX counter-measures against Terrapin [2].</w:t>
      </w:r>
    </w:p>
    <w:p>
      <w:pPr>
        <w:keepNext/>
        <w:spacing w:after="30" w:before="60" w:line="216"/>
        <w:jc w:val="center"/>
      </w:pPr>
      <w:r>
        <w:rPr>
          <w:rFonts w:ascii="Times New Roman" w:cs="Times New Roman" w:eastAsia="Times New Roman" w:hAnsi="Times New Roman"/>
          <w:b/>
          <w:bCs/>
          <w:sz w:val="16"/>
          <w:szCs w:val="16"/>
        </w:rPr>
        <w:t xml:space="preserve">Table 5. </w:t>
      </w:r>
      <w:r>
        <w:rPr>
          <w:rFonts w:ascii="Times New Roman" w:cs="Times New Roman" w:eastAsia="Times New Roman" w:hAnsi="Times New Roman"/>
          <w:sz w:val="16"/>
          <w:szCs w:val="16"/>
        </w:rPr>
        <w:t xml:space="preserve">Security comparison (measured items marked †).</w:t>
      </w:r>
    </w:p>
    <w:tbl>
      <w:tblPr>
        <w:tblW w:type="dxa" w:w="4880"/>
        <w:jc w:val="center"/>
        <w:tblBorders>
          <w:top w:val="single" w:color="auto" w:sz="4"/>
          <w:left w:val="single" w:color="auto" w:sz="4"/>
          <w:bottom w:val="single" w:color="auto" w:sz="4"/>
          <w:right w:val="single" w:color="auto" w:sz="4"/>
          <w:insideH w:val="single" w:color="auto" w:sz="4"/>
          <w:insideV w:val="single" w:color="auto" w:sz="4"/>
        </w:tblBorders>
      </w:tblPr>
      <w:tblGrid>
        <w:gridCol w:w="880"/>
        <w:gridCol w:w="1250"/>
        <w:gridCol w:w="1450"/>
        <w:gridCol w:w="1300"/>
      </w:tblGrid>
      <w:tr>
        <w:trPr>
          <w:cantSplit/>
          <w:tblHeader/>
        </w:trPr>
        <w:tc>
          <w:tcPr>
            <w:tcW w:type="dxa" w:w="880"/>
            <w:tcBorders>
              <w:top w:val="single" w:color="000000" w:sz="6"/>
              <w:left w:val="none" w:color="FFFFFF" w:sz="0"/>
              <w:bottom w:val="single" w:color="000000" w:sz="6"/>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b/>
                <w:bCs/>
                <w:sz w:val="12"/>
                <w:szCs w:val="12"/>
              </w:rPr>
              <w:t xml:space="preserve">Property</w:t>
            </w:r>
          </w:p>
        </w:tc>
        <w:tc>
          <w:tcPr>
            <w:tcW w:type="dxa" w:w="1250"/>
            <w:tcBorders>
              <w:top w:val="single" w:color="000000" w:sz="6"/>
              <w:left w:val="none" w:color="FFFFFF" w:sz="0"/>
              <w:bottom w:val="single" w:color="000000" w:sz="6"/>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b/>
                <w:bCs/>
                <w:sz w:val="12"/>
                <w:szCs w:val="12"/>
              </w:rPr>
              <w:t xml:space="preserve">WireGuard</w:t>
            </w:r>
          </w:p>
        </w:tc>
        <w:tc>
          <w:tcPr>
            <w:tcW w:type="dxa" w:w="1450"/>
            <w:tcBorders>
              <w:top w:val="single" w:color="000000" w:sz="6"/>
              <w:left w:val="none" w:color="FFFFFF" w:sz="0"/>
              <w:bottom w:val="single" w:color="000000" w:sz="6"/>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b/>
                <w:bCs/>
                <w:sz w:val="12"/>
                <w:szCs w:val="12"/>
              </w:rPr>
              <w:t xml:space="preserve">OpenVPN</w:t>
            </w:r>
          </w:p>
        </w:tc>
        <w:tc>
          <w:tcPr>
            <w:tcW w:type="dxa" w:w="1300"/>
            <w:tcBorders>
              <w:top w:val="single" w:color="000000" w:sz="6"/>
              <w:left w:val="none" w:color="FFFFFF" w:sz="0"/>
              <w:bottom w:val="single" w:color="000000" w:sz="6"/>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b/>
                <w:bCs/>
                <w:sz w:val="12"/>
                <w:szCs w:val="12"/>
              </w:rPr>
              <w:t xml:space="preserve">SSH</w:t>
            </w:r>
          </w:p>
        </w:tc>
      </w:tr>
      <w:tr>
        <w:trPr>
          <w:cantSplit/>
          <w:tblHeader w:val="off"/>
        </w:trPr>
        <w:tc>
          <w:tcPr>
            <w:tcW w:type="dxa" w:w="88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sz w:val="12"/>
                <w:szCs w:val="12"/>
              </w:rPr>
              <w:t xml:space="preserve">Handshake</w:t>
            </w:r>
          </w:p>
        </w:tc>
        <w:tc>
          <w:tcPr>
            <w:tcW w:type="dxa" w:w="12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Noise IK, 1-RTT, X25519 [14]</w:t>
            </w:r>
          </w:p>
        </w:tc>
        <w:tc>
          <w:tcPr>
            <w:tcW w:type="dxa" w:w="14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TLS 1.3 + X.509 (RSA-4096) [18]</w:t>
            </w:r>
          </w:p>
        </w:tc>
        <w:tc>
          <w:tcPr>
            <w:tcW w:type="dxa" w:w="13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ML-KEM-768+X25519†, Ed25519</w:t>
            </w:r>
          </w:p>
        </w:tc>
      </w:tr>
      <w:tr>
        <w:trPr>
          <w:cantSplit/>
          <w:tblHeader w:val="off"/>
        </w:trPr>
        <w:tc>
          <w:tcPr>
            <w:tcW w:type="dxa" w:w="88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sz w:val="12"/>
                <w:szCs w:val="12"/>
              </w:rPr>
              <w:t xml:space="preserve">Crypto agility</w:t>
            </w:r>
          </w:p>
        </w:tc>
        <w:tc>
          <w:tcPr>
            <w:tcW w:type="dxa" w:w="12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none (fixed suite)</w:t>
            </w:r>
          </w:p>
        </w:tc>
        <w:tc>
          <w:tcPr>
            <w:tcW w:type="dxa" w:w="14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negotiated; legacy BF-CBC risk [3]</w:t>
            </w:r>
          </w:p>
        </w:tc>
        <w:tc>
          <w:tcPr>
            <w:tcW w:type="dxa" w:w="13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negotiated</w:t>
            </w:r>
          </w:p>
        </w:tc>
      </w:tr>
      <w:tr>
        <w:trPr>
          <w:cantSplit/>
          <w:tblHeader w:val="off"/>
        </w:trPr>
        <w:tc>
          <w:tcPr>
            <w:tcW w:type="dxa" w:w="88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sz w:val="12"/>
                <w:szCs w:val="12"/>
              </w:rPr>
              <w:t xml:space="preserve">Formal / attacks</w:t>
            </w:r>
          </w:p>
        </w:tc>
        <w:tc>
          <w:tcPr>
            <w:tcW w:type="dxa" w:w="12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proofs [6, 10]</w:t>
            </w:r>
          </w:p>
        </w:tc>
        <w:tc>
          <w:tcPr>
            <w:tcW w:type="dxa" w:w="14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Sweet32 [3], fingerprint [20]</w:t>
            </w:r>
          </w:p>
        </w:tc>
        <w:tc>
          <w:tcPr>
            <w:tcW w:type="dxa" w:w="13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Terrapin [2], CBC leak [1]</w:t>
            </w:r>
          </w:p>
        </w:tc>
      </w:tr>
      <w:tr>
        <w:trPr>
          <w:cantSplit/>
          <w:tblHeader w:val="off"/>
        </w:trPr>
        <w:tc>
          <w:tcPr>
            <w:tcW w:type="dxa" w:w="88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sz w:val="12"/>
                <w:szCs w:val="12"/>
              </w:rPr>
              <w:t xml:space="preserve">Unauth. probe†</w:t>
            </w:r>
          </w:p>
        </w:tc>
        <w:tc>
          <w:tcPr>
            <w:tcW w:type="dxa" w:w="12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silent</w:t>
            </w:r>
          </w:p>
        </w:tc>
        <w:tc>
          <w:tcPr>
            <w:tcW w:type="dxa" w:w="14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silent (tls-crypt); 26 B reply w/o</w:t>
            </w:r>
          </w:p>
        </w:tc>
        <w:tc>
          <w:tcPr>
            <w:tcW w:type="dxa" w:w="13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version banner</w:t>
            </w:r>
          </w:p>
        </w:tc>
      </w:tr>
      <w:tr>
        <w:trPr>
          <w:cantSplit/>
          <w:tblHeader w:val="off"/>
        </w:trPr>
        <w:tc>
          <w:tcPr>
            <w:tcW w:type="dxa" w:w="88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sz w:val="12"/>
                <w:szCs w:val="12"/>
              </w:rPr>
              <w:t xml:space="preserve">Access scope</w:t>
            </w:r>
          </w:p>
        </w:tc>
        <w:tc>
          <w:tcPr>
            <w:tcW w:type="dxa" w:w="12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routed subnet</w:t>
            </w:r>
          </w:p>
        </w:tc>
        <w:tc>
          <w:tcPr>
            <w:tcW w:type="dxa" w:w="14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routed subnet</w:t>
            </w:r>
          </w:p>
        </w:tc>
        <w:tc>
          <w:tcPr>
            <w:tcW w:type="dxa" w:w="13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-L: one port; -w: subnet</w:t>
            </w:r>
          </w:p>
        </w:tc>
      </w:tr>
      <w:tr>
        <w:trPr>
          <w:cantSplit/>
          <w:tblHeader w:val="off"/>
        </w:trPr>
        <w:tc>
          <w:tcPr>
            <w:tcW w:type="dxa" w:w="88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sz w:val="12"/>
                <w:szCs w:val="12"/>
              </w:rPr>
              <w:t xml:space="preserve">Setup† (s / KB)</w:t>
            </w:r>
          </w:p>
        </w:tc>
        <w:tc>
          <w:tcPr>
            <w:tcW w:type="dxa" w:w="12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0.09 / 1.9</w:t>
            </w:r>
          </w:p>
        </w:tc>
        <w:tc>
          <w:tcPr>
            <w:tcW w:type="dxa" w:w="14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2.25 / 11.6</w:t>
            </w:r>
          </w:p>
        </w:tc>
        <w:tc>
          <w:tcPr>
            <w:tcW w:type="dxa" w:w="13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center"/>
            </w:pPr>
            <w:r>
              <w:rPr>
                <w:rFonts w:ascii="Times New Roman" w:cs="Times New Roman" w:eastAsia="Times New Roman" w:hAnsi="Times New Roman"/>
                <w:sz w:val="12"/>
                <w:szCs w:val="12"/>
              </w:rPr>
              <w:t xml:space="preserve">0.44 / 9.4</w:t>
            </w:r>
          </w:p>
        </w:tc>
      </w:tr>
      <w:tr>
        <w:trPr>
          <w:cantSplit/>
          <w:tblHeader w:val="off"/>
        </w:trPr>
        <w:tc>
          <w:tcPr>
            <w:tcW w:type="dxa" w:w="880"/>
            <w:tcBorders>
              <w:top w:val="none" w:color="FFFFFF" w:sz="0"/>
              <w:left w:val="none" w:color="FFFFFF" w:sz="0"/>
              <w:bottom w:val="single" w:color="000000" w:sz="6"/>
              <w:right w:val="none" w:color="FFFFFF" w:sz="0"/>
            </w:tcBorders>
            <w:tcMar>
              <w:top w:type="dxa" w:w="15"/>
              <w:left w:type="dxa" w:w="40"/>
              <w:bottom w:type="dxa" w:w="15"/>
              <w:right w:type="dxa" w:w="40"/>
            </w:tcMar>
          </w:tcPr>
          <w:p>
            <w:pPr>
              <w:keepNext w:val="false"/>
              <w:keepLines/>
              <w:spacing w:after="0" w:line="200"/>
              <w:jc w:val="left"/>
            </w:pPr>
            <w:r>
              <w:rPr>
                <w:rFonts w:ascii="Times New Roman" w:cs="Times New Roman" w:eastAsia="Times New Roman" w:hAnsi="Times New Roman"/>
                <w:sz w:val="12"/>
                <w:szCs w:val="12"/>
              </w:rPr>
              <w:t xml:space="preserve">SLOC†</w:t>
            </w:r>
          </w:p>
        </w:tc>
        <w:tc>
          <w:tcPr>
            <w:tcW w:type="dxa" w:w="1250"/>
            <w:tcBorders>
              <w:top w:val="none" w:color="FFFFFF" w:sz="0"/>
              <w:left w:val="none" w:color="FFFFFF" w:sz="0"/>
              <w:bottom w:val="single" w:color="000000" w:sz="6"/>
              <w:right w:val="none" w:color="FFFFFF" w:sz="0"/>
            </w:tcBorders>
            <w:tcMar>
              <w:top w:type="dxa" w:w="15"/>
              <w:left w:type="dxa" w:w="40"/>
              <w:bottom w:type="dxa" w:w="15"/>
              <w:right w:type="dxa" w:w="40"/>
            </w:tcMar>
          </w:tcPr>
          <w:p>
            <w:pPr>
              <w:keepNext w:val="false"/>
              <w:keepLines/>
              <w:spacing w:after="0" w:line="200"/>
              <w:jc w:val="center"/>
            </w:pPr>
            <w:r>
              <w:rPr>
                <w:rFonts w:ascii="Times New Roman" w:cs="Times New Roman" w:eastAsia="Times New Roman" w:hAnsi="Times New Roman"/>
                <w:sz w:val="12"/>
                <w:szCs w:val="12"/>
              </w:rPr>
              <w:t xml:space="preserve">8.0 k (wireguard-go)</w:t>
            </w:r>
          </w:p>
        </w:tc>
        <w:tc>
          <w:tcPr>
            <w:tcW w:type="dxa" w:w="1450"/>
            <w:tcBorders>
              <w:top w:val="none" w:color="FFFFFF" w:sz="0"/>
              <w:left w:val="none" w:color="FFFFFF" w:sz="0"/>
              <w:bottom w:val="single" w:color="000000" w:sz="6"/>
              <w:right w:val="none" w:color="FFFFFF" w:sz="0"/>
            </w:tcBorders>
            <w:tcMar>
              <w:top w:type="dxa" w:w="15"/>
              <w:left w:type="dxa" w:w="40"/>
              <w:bottom w:type="dxa" w:w="15"/>
              <w:right w:type="dxa" w:w="40"/>
            </w:tcMar>
          </w:tcPr>
          <w:p>
            <w:pPr>
              <w:keepNext w:val="false"/>
              <w:keepLines/>
              <w:spacing w:after="0" w:line="200"/>
              <w:jc w:val="center"/>
            </w:pPr>
            <w:r>
              <w:rPr>
                <w:rFonts w:ascii="Times New Roman" w:cs="Times New Roman" w:eastAsia="Times New Roman" w:hAnsi="Times New Roman"/>
                <w:sz w:val="12"/>
                <w:szCs w:val="12"/>
              </w:rPr>
              <w:t xml:space="preserve">86.8 k + OpenSSL</w:t>
            </w:r>
          </w:p>
        </w:tc>
        <w:tc>
          <w:tcPr>
            <w:tcW w:type="dxa" w:w="1300"/>
            <w:tcBorders>
              <w:top w:val="none" w:color="FFFFFF" w:sz="0"/>
              <w:left w:val="none" w:color="FFFFFF" w:sz="0"/>
              <w:bottom w:val="single" w:color="000000" w:sz="6"/>
              <w:right w:val="none" w:color="FFFFFF" w:sz="0"/>
            </w:tcBorders>
            <w:tcMar>
              <w:top w:type="dxa" w:w="15"/>
              <w:left w:type="dxa" w:w="40"/>
              <w:bottom w:type="dxa" w:w="15"/>
              <w:right w:type="dxa" w:w="40"/>
            </w:tcMar>
          </w:tcPr>
          <w:p>
            <w:pPr>
              <w:keepNext w:val="false"/>
              <w:keepLines/>
              <w:spacing w:after="0" w:line="200"/>
              <w:jc w:val="center"/>
            </w:pPr>
            <w:r>
              <w:rPr>
                <w:rFonts w:ascii="Times New Roman" w:cs="Times New Roman" w:eastAsia="Times New Roman" w:hAnsi="Times New Roman"/>
                <w:sz w:val="12"/>
                <w:szCs w:val="12"/>
              </w:rPr>
              <w:t xml:space="preserve">125.9 k</w:t>
            </w:r>
          </w:p>
        </w:tc>
      </w:tr>
    </w:tbl>
    <w:p>
      <w:pPr>
        <w:spacing w:after="40" w:line="228"/>
        <w:jc w:val="both"/>
      </w:pPr>
      <w:r>
        <w:rPr>
          <w:rFonts w:ascii="Times New Roman" w:cs="Times New Roman" w:eastAsia="Times New Roman" w:hAnsi="Times New Roman"/>
          <w:b/>
          <w:bCs/>
          <w:sz w:val="18"/>
          <w:szCs w:val="18"/>
        </w:rPr>
        <w:t xml:space="preserve">Handshake cost. </w:t>
      </w:r>
      <w:r>
        <w:rPr>
          <w:rFonts w:ascii="Times New Roman" w:cs="Times New Roman" w:eastAsia="Times New Roman" w:hAnsi="Times New Roman"/>
          <w:sz w:val="18"/>
          <w:szCs w:val="18"/>
        </w:rPr>
        <w:t xml:space="preserve">Tunnel establishment differed by more than an order of magnitude: WireGuard needed 0.09 s and 1.9 KB (one round trip of fixed-size messages), SSH 0.44 s and 9.4 KB, and OpenVPN 2.00–2.71 s and up to 13.6 KB, dominated by the certificate chain and RSA-4096 signatures of the TLS exchange. Expensive pre-authentication work is also a denial-of-service lever, which tls-crypt and WireGuard’s cookie mechanism are designed to blunt [5].</w:t>
      </w:r>
    </w:p>
    <w:p>
      <w:pPr>
        <w:spacing w:after="40" w:before="50" w:line="228"/>
        <w:jc w:val="both"/>
      </w:pPr>
      <w:r>
        <w:rPr>
          <w:rFonts w:ascii="Times New Roman" w:cs="Times New Roman" w:eastAsia="Times New Roman" w:hAnsi="Times New Roman"/>
          <w:sz w:val="18"/>
          <w:szCs w:val="18"/>
        </w:rPr>
        <w:t xml:space="preserve">Two further differences matter in practice. First, scope: SSH-L exposes one service, which enforces least privilege by construction, whereas both VPNs grant routed access to a subnet unless filtered. Second, attack surface: wireguard-go is an order of magnitude smaller than OpenVPN or OpenSSH, and OpenVPN additionally links a full TLS library; small code eases review but does not by itself prove security.</w:t>
      </w:r>
    </w:p>
    <w:p>
      <w:pPr>
        <w:pStyle w:val="Heading1"/>
        <w:keepNext/>
        <w:spacing w:after="50" w:before="120"/>
      </w:pPr>
      <w:r>
        <w:rPr>
          <w:rFonts w:ascii="Times New Roman" w:cs="Times New Roman" w:eastAsia="Times New Roman" w:hAnsi="Times New Roman"/>
          <w:b/>
          <w:bCs/>
          <w:sz w:val="20"/>
          <w:szCs w:val="20"/>
        </w:rPr>
        <w:t xml:space="preserve">5 DISCUSSION &amp; CHALLENGES</w:t>
      </w:r>
    </w:p>
    <w:p>
      <w:pPr>
        <w:pStyle w:val="Heading2"/>
        <w:keepNext/>
        <w:spacing w:after="30" w:before="80"/>
      </w:pPr>
      <w:r>
        <w:rPr>
          <w:rFonts w:ascii="Times New Roman" w:cs="Times New Roman" w:eastAsia="Times New Roman" w:hAnsi="Times New Roman"/>
          <w:b/>
          <w:bCs/>
          <w:sz w:val="19"/>
          <w:szCs w:val="19"/>
        </w:rPr>
        <w:t xml:space="preserve">5.1 Key Insights</w:t>
      </w:r>
    </w:p>
    <w:p>
      <w:pPr>
        <w:pStyle w:val="ListParagraph"/>
        <w:numPr>
          <w:ilvl w:val="0"/>
          <w:numId w:val="5"/>
        </w:numPr>
        <w:spacing w:after="20" w:line="228"/>
        <w:jc w:val="both"/>
      </w:pPr>
      <w:r>
        <w:rPr>
          <w:rFonts w:ascii="Times New Roman" w:cs="Times New Roman" w:eastAsia="Times New Roman" w:hAnsi="Times New Roman"/>
          <w:b/>
          <w:bCs/>
          <w:sz w:val="18"/>
          <w:szCs w:val="18"/>
        </w:rPr>
        <w:t xml:space="preserve">Packet granularity, not user space, sets the cost.</w:t>
      </w:r>
      <w:r>
        <w:rPr>
          <w:rFonts w:ascii="Times New Roman" w:cs="Times New Roman" w:eastAsia="Times New Roman" w:hAnsi="Times New Roman"/>
          <w:sz w:val="18"/>
          <w:szCs w:val="18"/>
        </w:rPr>
        <w:t xml:space="preserve"> Our milestone attributed OpenVPN’s limit to user-space context switching. The data support a narrower claim: OpenVPN does switch context roughly once per packet, but SSH-L also runs in user space and is the fastest tunnel. What matters is how many system calls and wake-ups each byte costs. Batching (wireguard-go) or kernel offload such as OpenVPN DCO [16] attack exactly this.</w:t>
      </w:r>
    </w:p>
    <w:p>
      <w:pPr>
        <w:pStyle w:val="ListParagraph"/>
        <w:numPr>
          <w:ilvl w:val="0"/>
          <w:numId w:val="5"/>
        </w:numPr>
        <w:spacing w:after="20" w:line="228"/>
        <w:jc w:val="both"/>
      </w:pPr>
      <w:r>
        <w:rPr>
          <w:rFonts w:ascii="Times New Roman" w:cs="Times New Roman" w:eastAsia="Times New Roman" w:hAnsi="Times New Roman"/>
          <w:b/>
          <w:bCs/>
          <w:sz w:val="18"/>
          <w:szCs w:val="18"/>
        </w:rPr>
        <w:t xml:space="preserve">“Meltdown” is conditional.</w:t>
      </w:r>
      <w:r>
        <w:rPr>
          <w:rFonts w:ascii="Times New Roman" w:cs="Times New Roman" w:eastAsia="Times New Roman" w:hAnsi="Times New Roman"/>
          <w:sz w:val="18"/>
          <w:szCs w:val="18"/>
        </w:rPr>
        <w:t xml:space="preserve"> The milestone claimed an SSH collapse at 2% loss. We could not reproduce it: SSH-L is not TCP-over-TCP at all, and the genuine TCP-in-TCP tunnels matched raw TCP under CUBIC. A real penalty of 28–43% appears only with a loss-insensitive controller (BBR), consistent with reports that the effect depends on congestion control and buffers [8, 9].</w:t>
      </w:r>
    </w:p>
    <w:p>
      <w:pPr>
        <w:pStyle w:val="ListParagraph"/>
        <w:numPr>
          <w:ilvl w:val="0"/>
          <w:numId w:val="5"/>
        </w:numPr>
        <w:spacing w:after="20" w:line="228"/>
        <w:jc w:val="both"/>
      </w:pPr>
      <w:r>
        <w:rPr>
          <w:rFonts w:ascii="Times New Roman" w:cs="Times New Roman" w:eastAsia="Times New Roman" w:hAnsi="Times New Roman"/>
          <w:b/>
          <w:bCs/>
          <w:sz w:val="18"/>
          <w:szCs w:val="18"/>
        </w:rPr>
        <w:t xml:space="preserve">Security, not speed, should drive most choices.</w:t>
      </w:r>
      <w:r>
        <w:rPr>
          <w:rFonts w:ascii="Times New Roman" w:cs="Times New Roman" w:eastAsia="Times New Roman" w:hAnsi="Times New Roman"/>
          <w:sz w:val="18"/>
          <w:szCs w:val="18"/>
        </w:rPr>
        <w:t xml:space="preserve"> Above a few hundred Mbit/s every tunnel is fast enough for typical remote-access links, and latency costs are sub-millisecond. The decisive differences are silence to probes, access scope, agility and code size (Table 5).</w:t>
      </w:r>
    </w:p>
    <w:p>
      <w:pPr>
        <w:pStyle w:val="ListParagraph"/>
        <w:numPr>
          <w:ilvl w:val="0"/>
          <w:numId w:val="5"/>
        </w:numPr>
        <w:spacing w:after="20" w:line="228"/>
        <w:jc w:val="both"/>
      </w:pPr>
      <w:r>
        <w:rPr>
          <w:rFonts w:ascii="Times New Roman" w:cs="Times New Roman" w:eastAsia="Times New Roman" w:hAnsi="Times New Roman"/>
          <w:b/>
          <w:bCs/>
          <w:sz w:val="18"/>
          <w:szCs w:val="18"/>
        </w:rPr>
        <w:t xml:space="preserve">The two risks in our problem statement need re-weighting.</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Performance bottlenecks</w:t>
      </w:r>
      <w:r>
        <w:rPr>
          <w:rFonts w:ascii="Times New Roman" w:cs="Times New Roman" w:eastAsia="Times New Roman" w:hAnsi="Times New Roman"/>
          <w:sz w:val="18"/>
          <w:szCs w:val="18"/>
        </w:rPr>
        <w:t xml:space="preserve"> from TCP forwarding did not materialize for SSH port forwarding, which was the fastest tunnel; they did appear for the genuine TCP-in-TCP tunnels, but only under BBR. </w:t>
      </w:r>
      <w:r>
        <w:rPr>
          <w:rFonts w:ascii="Times New Roman" w:cs="Times New Roman" w:eastAsia="Times New Roman" w:hAnsi="Times New Roman"/>
          <w:i/>
          <w:iCs/>
          <w:sz w:val="18"/>
          <w:szCs w:val="18"/>
        </w:rPr>
        <w:t xml:space="preserve">Resource saturation</w:t>
      </w:r>
      <w:r>
        <w:rPr>
          <w:rFonts w:ascii="Times New Roman" w:cs="Times New Roman" w:eastAsia="Times New Roman" w:hAnsi="Times New Roman"/>
          <w:sz w:val="18"/>
          <w:szCs w:val="18"/>
        </w:rPr>
        <w:t xml:space="preserve">, by contrast, is real and large: per-packet tunnels spent 53–72 cycles per byte and saturated both cores at well under 1 Gbit/s, so a low-power gateway running OpenVPN or SSH -w is the configuration most exposed to CPU exhaustion and flooding.</w:t>
      </w:r>
    </w:p>
    <w:p>
      <w:pPr>
        <w:pStyle w:val="ListParagraph"/>
        <w:numPr>
          <w:ilvl w:val="0"/>
          <w:numId w:val="5"/>
        </w:numPr>
        <w:spacing w:after="20" w:line="228"/>
        <w:jc w:val="both"/>
      </w:pPr>
      <w:r>
        <w:rPr>
          <w:rFonts w:ascii="Times New Roman" w:cs="Times New Roman" w:eastAsia="Times New Roman" w:hAnsi="Times New Roman"/>
          <w:b/>
          <w:bCs/>
          <w:sz w:val="18"/>
          <w:szCs w:val="18"/>
        </w:rPr>
        <w:t xml:space="preserve">Speed and security do not trade off here.</w:t>
      </w:r>
      <w:r>
        <w:rPr>
          <w:rFonts w:ascii="Times New Roman" w:cs="Times New Roman" w:eastAsia="Times New Roman" w:hAnsi="Times New Roman"/>
          <w:sz w:val="18"/>
          <w:szCs w:val="18"/>
        </w:rPr>
        <w:t xml:space="preserve"> WireGuard was both the most efficient packet tunnel and the most probe-resistant, while SSH-L combined top throughput with the narrowest access scope but the most visible fingerprint. The real tension is between network-wide access (VPNs) and per-service least privilege (SSH-L), which is an architectural choice rather than a performance one.</w:t>
      </w:r>
    </w:p>
    <w:p>
      <w:pPr>
        <w:keepNext/>
        <w:spacing w:after="30" w:before="60" w:line="216"/>
        <w:jc w:val="center"/>
      </w:pPr>
      <w:r>
        <w:rPr>
          <w:rFonts w:ascii="Times New Roman" w:cs="Times New Roman" w:eastAsia="Times New Roman" w:hAnsi="Times New Roman"/>
          <w:b/>
          <w:bCs/>
          <w:sz w:val="16"/>
          <w:szCs w:val="16"/>
        </w:rPr>
        <w:t xml:space="preserve">Table 6. </w:t>
      </w:r>
      <w:r>
        <w:rPr>
          <w:rFonts w:ascii="Times New Roman" w:cs="Times New Roman" w:eastAsia="Times New Roman" w:hAnsi="Times New Roman"/>
          <w:sz w:val="16"/>
          <w:szCs w:val="16"/>
        </w:rPr>
        <w:t xml:space="preserve">Milestone claims revisited against the final measurements.</w:t>
      </w:r>
    </w:p>
    <w:tbl>
      <w:tblPr>
        <w:tblW w:type="dxa" w:w="4880"/>
        <w:jc w:val="center"/>
        <w:tblBorders>
          <w:top w:val="single" w:color="auto" w:sz="4"/>
          <w:left w:val="single" w:color="auto" w:sz="4"/>
          <w:bottom w:val="single" w:color="auto" w:sz="4"/>
          <w:right w:val="single" w:color="auto" w:sz="4"/>
          <w:insideH w:val="single" w:color="auto" w:sz="4"/>
          <w:insideV w:val="single" w:color="auto" w:sz="4"/>
        </w:tblBorders>
      </w:tblPr>
      <w:tblGrid>
        <w:gridCol w:w="1450"/>
        <w:gridCol w:w="1800"/>
        <w:gridCol w:w="1630"/>
      </w:tblGrid>
      <w:tr>
        <w:trPr>
          <w:cantSplit/>
          <w:tblHeader/>
        </w:trPr>
        <w:tc>
          <w:tcPr>
            <w:tcW w:type="dxa" w:w="1450"/>
            <w:tcBorders>
              <w:top w:val="single" w:color="000000" w:sz="6"/>
              <w:left w:val="none" w:color="FFFFFF" w:sz="0"/>
              <w:bottom w:val="single" w:color="000000" w:sz="6"/>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b/>
                <w:bCs/>
                <w:sz w:val="12"/>
                <w:szCs w:val="12"/>
              </w:rPr>
              <w:t xml:space="preserve">Milestone claim</w:t>
            </w:r>
          </w:p>
        </w:tc>
        <w:tc>
          <w:tcPr>
            <w:tcW w:type="dxa" w:w="1800"/>
            <w:tcBorders>
              <w:top w:val="single" w:color="000000" w:sz="6"/>
              <w:left w:val="none" w:color="FFFFFF" w:sz="0"/>
              <w:bottom w:val="single" w:color="000000" w:sz="6"/>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b/>
                <w:bCs/>
                <w:sz w:val="12"/>
                <w:szCs w:val="12"/>
              </w:rPr>
              <w:t xml:space="preserve">Final evidence</w:t>
            </w:r>
          </w:p>
        </w:tc>
        <w:tc>
          <w:tcPr>
            <w:tcW w:type="dxa" w:w="1630"/>
            <w:tcBorders>
              <w:top w:val="single" w:color="000000" w:sz="6"/>
              <w:left w:val="none" w:color="FFFFFF" w:sz="0"/>
              <w:bottom w:val="single" w:color="000000" w:sz="6"/>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b/>
                <w:bCs/>
                <w:sz w:val="12"/>
                <w:szCs w:val="12"/>
              </w:rPr>
              <w:t xml:space="preserve">Revised claim</w:t>
            </w:r>
          </w:p>
        </w:tc>
      </w:tr>
      <w:tr>
        <w:trPr>
          <w:cantSplit/>
          <w:tblHeader w:val="off"/>
        </w:trPr>
        <w:tc>
          <w:tcPr>
            <w:tcW w:type="dxa" w:w="14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sz w:val="12"/>
                <w:szCs w:val="12"/>
              </w:rPr>
              <w:t xml:space="preserve">WireGuard 942 Mbit/s at 14% CPU (kernel)</w:t>
            </w:r>
          </w:p>
        </w:tc>
        <w:tc>
          <w:tcPr>
            <w:tcW w:type="dxa" w:w="18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sz w:val="12"/>
                <w:szCs w:val="12"/>
              </w:rPr>
              <w:t xml:space="preserve">wireguard-go 1.58 Gbit/s at 138% of 200%</w:t>
            </w:r>
          </w:p>
        </w:tc>
        <w:tc>
          <w:tcPr>
            <w:tcW w:type="dxa" w:w="163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sz w:val="12"/>
                <w:szCs w:val="12"/>
              </w:rPr>
              <w:t xml:space="preserve">efficient via batching; kernel variant untested</w:t>
            </w:r>
          </w:p>
        </w:tc>
      </w:tr>
      <w:tr>
        <w:trPr>
          <w:cantSplit/>
          <w:tblHeader w:val="off"/>
        </w:trPr>
        <w:tc>
          <w:tcPr>
            <w:tcW w:type="dxa" w:w="14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sz w:val="12"/>
                <w:szCs w:val="12"/>
              </w:rPr>
              <w:t xml:space="preserve">OpenVPN 480 Mbit/s, one thread at 100%, context switching</w:t>
            </w:r>
          </w:p>
        </w:tc>
        <w:tc>
          <w:tcPr>
            <w:tcW w:type="dxa" w:w="180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sz w:val="12"/>
                <w:szCs w:val="12"/>
              </w:rPr>
              <w:t xml:space="preserve">727 Mbit/s; 1,350 vs 105 switches/MB; cipher-neutral</w:t>
            </w:r>
          </w:p>
        </w:tc>
        <w:tc>
          <w:tcPr>
            <w:tcW w:type="dxa" w:w="163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sz w:val="12"/>
                <w:szCs w:val="12"/>
              </w:rPr>
              <w:t xml:space="preserve">per-packet wake-ups limit OpenVPN (supported, narrowed)</w:t>
            </w:r>
          </w:p>
        </w:tc>
      </w:tr>
      <w:tr>
        <w:trPr>
          <w:cantSplit/>
          <w:tblHeader w:val="off"/>
        </w:trPr>
        <w:tc>
          <w:tcPr>
            <w:tcW w:type="dxa" w:w="1450"/>
            <w:tcBorders>
              <w:top w:val="none" w:color="FFFFFF" w:sz="0"/>
              <w:left w:val="none" w:color="FFFFFF" w:sz="0"/>
              <w:bottom w:val="single" w:color="000000" w:sz="6"/>
              <w:right w:val="none" w:color="FFFFFF" w:sz="0"/>
            </w:tcBorders>
            <w:tcMar>
              <w:top w:type="dxa" w:w="15"/>
              <w:left w:type="dxa" w:w="40"/>
              <w:bottom w:type="dxa" w:w="15"/>
              <w:right w:type="dxa" w:w="40"/>
            </w:tcMar>
          </w:tcPr>
          <w:p>
            <w:pPr>
              <w:keepNext w:val="false"/>
              <w:keepLines/>
              <w:spacing w:after="0" w:line="200"/>
              <w:jc w:val="left"/>
            </w:pPr>
            <w:r>
              <w:rPr>
                <w:rFonts w:ascii="Times New Roman" w:cs="Times New Roman" w:eastAsia="Times New Roman" w:hAnsi="Times New Roman"/>
                <w:sz w:val="12"/>
                <w:szCs w:val="12"/>
              </w:rPr>
              <w:t xml:space="preserve">SSH 310 Mbit/s; meltdown at 2% loss</w:t>
            </w:r>
          </w:p>
        </w:tc>
        <w:tc>
          <w:tcPr>
            <w:tcW w:type="dxa" w:w="1800"/>
            <w:tcBorders>
              <w:top w:val="none" w:color="FFFFFF" w:sz="0"/>
              <w:left w:val="none" w:color="FFFFFF" w:sz="0"/>
              <w:bottom w:val="single" w:color="000000" w:sz="6"/>
              <w:right w:val="none" w:color="FFFFFF" w:sz="0"/>
            </w:tcBorders>
            <w:tcMar>
              <w:top w:type="dxa" w:w="15"/>
              <w:left w:type="dxa" w:w="40"/>
              <w:bottom w:type="dxa" w:w="15"/>
              <w:right w:type="dxa" w:w="40"/>
            </w:tcMar>
          </w:tcPr>
          <w:p>
            <w:pPr>
              <w:keepNext w:val="false"/>
              <w:keepLines/>
              <w:spacing w:after="0" w:line="200"/>
              <w:jc w:val="left"/>
            </w:pPr>
            <w:r>
              <w:rPr>
                <w:rFonts w:ascii="Times New Roman" w:cs="Times New Roman" w:eastAsia="Times New Roman" w:hAnsi="Times New Roman"/>
                <w:sz w:val="12"/>
                <w:szCs w:val="12"/>
              </w:rPr>
              <w:t xml:space="preserve">SSH-L 4.10 Gbit/s; R(2%) = 1.02</w:t>
            </w:r>
          </w:p>
        </w:tc>
        <w:tc>
          <w:tcPr>
            <w:tcW w:type="dxa" w:w="1630"/>
            <w:tcBorders>
              <w:top w:val="none" w:color="FFFFFF" w:sz="0"/>
              <w:left w:val="none" w:color="FFFFFF" w:sz="0"/>
              <w:bottom w:val="single" w:color="000000" w:sz="6"/>
              <w:right w:val="none" w:color="FFFFFF" w:sz="0"/>
            </w:tcBorders>
            <w:tcMar>
              <w:top w:type="dxa" w:w="15"/>
              <w:left w:type="dxa" w:w="40"/>
              <w:bottom w:type="dxa" w:w="15"/>
              <w:right w:type="dxa" w:w="40"/>
            </w:tcMar>
          </w:tcPr>
          <w:p>
            <w:pPr>
              <w:keepNext w:val="false"/>
              <w:keepLines/>
              <w:spacing w:after="0" w:line="200"/>
              <w:jc w:val="left"/>
            </w:pPr>
            <w:r>
              <w:rPr>
                <w:rFonts w:ascii="Times New Roman" w:cs="Times New Roman" w:eastAsia="Times New Roman" w:hAnsi="Times New Roman"/>
                <w:sz w:val="12"/>
                <w:szCs w:val="12"/>
              </w:rPr>
              <w:t xml:space="preserve">no meltdown under CUBIC; 28–43% loss for TCP-in-TCP under BBR</w:t>
            </w:r>
          </w:p>
        </w:tc>
      </w:tr>
    </w:tbl>
    <w:p>
      <w:pPr>
        <w:spacing w:after="40" w:before="40" w:line="228"/>
        <w:jc w:val="both"/>
      </w:pPr>
      <w:r>
        <w:rPr>
          <w:rFonts w:ascii="Times New Roman" w:cs="Times New Roman" w:eastAsia="Times New Roman" w:hAnsi="Times New Roman"/>
          <w:sz w:val="18"/>
          <w:szCs w:val="18"/>
        </w:rPr>
        <w:t xml:space="preserve">The preliminary milestone numbers came from single, undocumented runs; Table 6 replaces them with the repeated, configuration-documented measurements requested in the milestone review.</w:t>
      </w:r>
    </w:p>
    <w:p>
      <w:pPr>
        <w:keepNext/>
        <w:spacing w:after="30" w:before="60" w:line="216"/>
        <w:jc w:val="center"/>
      </w:pPr>
      <w:r>
        <w:rPr>
          <w:rFonts w:ascii="Times New Roman" w:cs="Times New Roman" w:eastAsia="Times New Roman" w:hAnsi="Times New Roman"/>
          <w:b/>
          <w:bCs/>
          <w:sz w:val="16"/>
          <w:szCs w:val="16"/>
        </w:rPr>
        <w:t xml:space="preserve">Table 7. </w:t>
      </w:r>
      <w:r>
        <w:rPr>
          <w:rFonts w:ascii="Times New Roman" w:cs="Times New Roman" w:eastAsia="Times New Roman" w:hAnsi="Times New Roman"/>
          <w:sz w:val="16"/>
          <w:szCs w:val="16"/>
        </w:rPr>
        <w:t xml:space="preserve">Deployment guide derived from Sections 4.2–4.4.</w:t>
      </w:r>
    </w:p>
    <w:tbl>
      <w:tblPr>
        <w:tblW w:type="dxa" w:w="4880"/>
        <w:jc w:val="center"/>
        <w:tblBorders>
          <w:top w:val="single" w:color="auto" w:sz="4"/>
          <w:left w:val="single" w:color="auto" w:sz="4"/>
          <w:bottom w:val="single" w:color="auto" w:sz="4"/>
          <w:right w:val="single" w:color="auto" w:sz="4"/>
          <w:insideH w:val="single" w:color="auto" w:sz="4"/>
          <w:insideV w:val="single" w:color="auto" w:sz="4"/>
        </w:tblBorders>
      </w:tblPr>
      <w:tblGrid>
        <w:gridCol w:w="1350"/>
        <w:gridCol w:w="1250"/>
        <w:gridCol w:w="2280"/>
      </w:tblGrid>
      <w:tr>
        <w:trPr>
          <w:cantSplit/>
          <w:tblHeader/>
        </w:trPr>
        <w:tc>
          <w:tcPr>
            <w:tcW w:type="dxa" w:w="1350"/>
            <w:tcBorders>
              <w:top w:val="single" w:color="000000" w:sz="6"/>
              <w:left w:val="none" w:color="FFFFFF" w:sz="0"/>
              <w:bottom w:val="single" w:color="000000" w:sz="6"/>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b/>
                <w:bCs/>
                <w:sz w:val="12"/>
                <w:szCs w:val="12"/>
              </w:rPr>
              <w:t xml:space="preserve">Scenario</w:t>
            </w:r>
          </w:p>
        </w:tc>
        <w:tc>
          <w:tcPr>
            <w:tcW w:type="dxa" w:w="1250"/>
            <w:tcBorders>
              <w:top w:val="single" w:color="000000" w:sz="6"/>
              <w:left w:val="none" w:color="FFFFFF" w:sz="0"/>
              <w:bottom w:val="single" w:color="000000" w:sz="6"/>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b/>
                <w:bCs/>
                <w:sz w:val="12"/>
                <w:szCs w:val="12"/>
              </w:rPr>
              <w:t xml:space="preserve">Recommendation</w:t>
            </w:r>
          </w:p>
        </w:tc>
        <w:tc>
          <w:tcPr>
            <w:tcW w:type="dxa" w:w="2280"/>
            <w:tcBorders>
              <w:top w:val="single" w:color="000000" w:sz="6"/>
              <w:left w:val="none" w:color="FFFFFF" w:sz="0"/>
              <w:bottom w:val="single" w:color="000000" w:sz="6"/>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b/>
                <w:bCs/>
                <w:sz w:val="12"/>
                <w:szCs w:val="12"/>
              </w:rPr>
              <w:t xml:space="preserve">Reason</w:t>
            </w:r>
          </w:p>
        </w:tc>
      </w:tr>
      <w:tr>
        <w:trPr>
          <w:cantSplit/>
          <w:tblHeader w:val="off"/>
        </w:trPr>
        <w:tc>
          <w:tcPr>
            <w:tcW w:type="dxa" w:w="13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sz w:val="12"/>
                <w:szCs w:val="12"/>
              </w:rPr>
              <w:t xml:space="preserve">Site-to-site, edge gateway</w:t>
            </w:r>
          </w:p>
        </w:tc>
        <w:tc>
          <w:tcPr>
            <w:tcW w:type="dxa" w:w="12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sz w:val="12"/>
                <w:szCs w:val="12"/>
              </w:rPr>
              <w:t xml:space="preserve">WireGuard</w:t>
            </w:r>
          </w:p>
        </w:tc>
        <w:tc>
          <w:tcPr>
            <w:tcW w:type="dxa" w:w="228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sz w:val="12"/>
                <w:szCs w:val="12"/>
              </w:rPr>
              <w:t xml:space="preserve">best packet-tunnel E; silent; small code</w:t>
            </w:r>
          </w:p>
        </w:tc>
      </w:tr>
      <w:tr>
        <w:trPr>
          <w:cantSplit/>
          <w:tblHeader w:val="off"/>
        </w:trPr>
        <w:tc>
          <w:tcPr>
            <w:tcW w:type="dxa" w:w="13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sz w:val="12"/>
                <w:szCs w:val="12"/>
              </w:rPr>
              <w:t xml:space="preserve">Admin access to one service</w:t>
            </w:r>
          </w:p>
        </w:tc>
        <w:tc>
          <w:tcPr>
            <w:tcW w:type="dxa" w:w="12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sz w:val="12"/>
                <w:szCs w:val="12"/>
              </w:rPr>
              <w:t xml:space="preserve">SSH -L</w:t>
            </w:r>
          </w:p>
        </w:tc>
        <w:tc>
          <w:tcPr>
            <w:tcW w:type="dxa" w:w="228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sz w:val="12"/>
                <w:szCs w:val="12"/>
              </w:rPr>
              <w:t xml:space="preserve">least privilege; fastest single flow; hide port</w:t>
            </w:r>
          </w:p>
        </w:tc>
      </w:tr>
      <w:tr>
        <w:trPr>
          <w:cantSplit/>
          <w:tblHeader w:val="off"/>
        </w:trPr>
        <w:tc>
          <w:tcPr>
            <w:tcW w:type="dxa" w:w="13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sz w:val="12"/>
                <w:szCs w:val="12"/>
              </w:rPr>
              <w:t xml:space="preserve">UDP blocked, TCP/443 only</w:t>
            </w:r>
          </w:p>
        </w:tc>
        <w:tc>
          <w:tcPr>
            <w:tcW w:type="dxa" w:w="12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sz w:val="12"/>
                <w:szCs w:val="12"/>
              </w:rPr>
              <w:t xml:space="preserve">OpenVPN-TCP</w:t>
            </w:r>
          </w:p>
        </w:tc>
        <w:tc>
          <w:tcPr>
            <w:tcW w:type="dxa" w:w="228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sz w:val="12"/>
                <w:szCs w:val="12"/>
              </w:rPr>
              <w:t xml:space="preserve">parity under CUBIC; avoid BBR on lossy paths</w:t>
            </w:r>
          </w:p>
        </w:tc>
      </w:tr>
      <w:tr>
        <w:trPr>
          <w:cantSplit/>
          <w:tblHeader w:val="off"/>
        </w:trPr>
        <w:tc>
          <w:tcPr>
            <w:tcW w:type="dxa" w:w="13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sz w:val="12"/>
                <w:szCs w:val="12"/>
              </w:rPr>
              <w:t xml:space="preserve">Enterprise PKI, full network</w:t>
            </w:r>
          </w:p>
        </w:tc>
        <w:tc>
          <w:tcPr>
            <w:tcW w:type="dxa" w:w="125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sz w:val="12"/>
                <w:szCs w:val="12"/>
              </w:rPr>
              <w:t xml:space="preserve">OpenVPN-UDP + tls-crypt</w:t>
            </w:r>
          </w:p>
        </w:tc>
        <w:tc>
          <w:tcPr>
            <w:tcW w:type="dxa" w:w="2280"/>
            <w:tcBorders>
              <w:top w:val="none" w:color="FFFFFF" w:sz="0"/>
              <w:left w:val="none" w:color="FFFFFF" w:sz="0"/>
              <w:bottom w:val="none" w:color="FFFFFF" w:sz="0"/>
              <w:right w:val="none" w:color="FFFFFF" w:sz="0"/>
            </w:tcBorders>
            <w:tcMar>
              <w:top w:type="dxa" w:w="15"/>
              <w:left w:type="dxa" w:w="40"/>
              <w:bottom w:type="dxa" w:w="15"/>
              <w:right w:type="dxa" w:w="40"/>
            </w:tcMar>
          </w:tcPr>
          <w:p>
            <w:pPr>
              <w:keepNext/>
              <w:keepLines/>
              <w:spacing w:after="0" w:line="200"/>
              <w:jc w:val="left"/>
            </w:pPr>
            <w:r>
              <w:rPr>
                <w:rFonts w:ascii="Times New Roman" w:cs="Times New Roman" w:eastAsia="Times New Roman" w:hAnsi="Times New Roman"/>
                <w:sz w:val="12"/>
                <w:szCs w:val="12"/>
              </w:rPr>
              <w:t xml:space="preserve">certificate integration; probe-silent; DCO</w:t>
            </w:r>
          </w:p>
        </w:tc>
      </w:tr>
      <w:tr>
        <w:trPr>
          <w:cantSplit/>
          <w:tblHeader w:val="off"/>
        </w:trPr>
        <w:tc>
          <w:tcPr>
            <w:tcW w:type="dxa" w:w="1350"/>
            <w:tcBorders>
              <w:top w:val="none" w:color="FFFFFF" w:sz="0"/>
              <w:left w:val="none" w:color="FFFFFF" w:sz="0"/>
              <w:bottom w:val="single" w:color="000000" w:sz="6"/>
              <w:right w:val="none" w:color="FFFFFF" w:sz="0"/>
            </w:tcBorders>
            <w:tcMar>
              <w:top w:type="dxa" w:w="15"/>
              <w:left w:type="dxa" w:w="40"/>
              <w:bottom w:type="dxa" w:w="15"/>
              <w:right w:type="dxa" w:w="40"/>
            </w:tcMar>
          </w:tcPr>
          <w:p>
            <w:pPr>
              <w:keepNext w:val="false"/>
              <w:keepLines/>
              <w:spacing w:after="0" w:line="200"/>
              <w:jc w:val="left"/>
            </w:pPr>
            <w:r>
              <w:rPr>
                <w:rFonts w:ascii="Times New Roman" w:cs="Times New Roman" w:eastAsia="Times New Roman" w:hAnsi="Times New Roman"/>
                <w:sz w:val="12"/>
                <w:szCs w:val="12"/>
              </w:rPr>
              <w:t xml:space="preserve">Production L3 over SSH</w:t>
            </w:r>
          </w:p>
        </w:tc>
        <w:tc>
          <w:tcPr>
            <w:tcW w:type="dxa" w:w="1250"/>
            <w:tcBorders>
              <w:top w:val="none" w:color="FFFFFF" w:sz="0"/>
              <w:left w:val="none" w:color="FFFFFF" w:sz="0"/>
              <w:bottom w:val="single" w:color="000000" w:sz="6"/>
              <w:right w:val="none" w:color="FFFFFF" w:sz="0"/>
            </w:tcBorders>
            <w:tcMar>
              <w:top w:type="dxa" w:w="15"/>
              <w:left w:type="dxa" w:w="40"/>
              <w:bottom w:type="dxa" w:w="15"/>
              <w:right w:type="dxa" w:w="40"/>
            </w:tcMar>
          </w:tcPr>
          <w:p>
            <w:pPr>
              <w:keepNext w:val="false"/>
              <w:keepLines/>
              <w:spacing w:after="0" w:line="200"/>
              <w:jc w:val="left"/>
            </w:pPr>
            <w:r>
              <w:rPr>
                <w:rFonts w:ascii="Times New Roman" w:cs="Times New Roman" w:eastAsia="Times New Roman" w:hAnsi="Times New Roman"/>
                <w:sz w:val="12"/>
                <w:szCs w:val="12"/>
              </w:rPr>
              <w:t xml:space="preserve">avoid SSH -w</w:t>
            </w:r>
          </w:p>
        </w:tc>
        <w:tc>
          <w:tcPr>
            <w:tcW w:type="dxa" w:w="2280"/>
            <w:tcBorders>
              <w:top w:val="none" w:color="FFFFFF" w:sz="0"/>
              <w:left w:val="none" w:color="FFFFFF" w:sz="0"/>
              <w:bottom w:val="single" w:color="000000" w:sz="6"/>
              <w:right w:val="none" w:color="FFFFFF" w:sz="0"/>
            </w:tcBorders>
            <w:tcMar>
              <w:top w:type="dxa" w:w="15"/>
              <w:left w:type="dxa" w:w="40"/>
              <w:bottom w:type="dxa" w:w="15"/>
              <w:right w:type="dxa" w:w="40"/>
            </w:tcMar>
          </w:tcPr>
          <w:p>
            <w:pPr>
              <w:keepNext w:val="false"/>
              <w:keepLines/>
              <w:spacing w:after="0" w:line="200"/>
              <w:jc w:val="left"/>
            </w:pPr>
            <w:r>
              <w:rPr>
                <w:rFonts w:ascii="Times New Roman" w:cs="Times New Roman" w:eastAsia="Times New Roman" w:hAnsi="Times New Roman"/>
                <w:sz w:val="12"/>
                <w:szCs w:val="12"/>
              </w:rPr>
              <w:t xml:space="preserve">lowest E; root and PermitTunnel needed</w:t>
            </w:r>
          </w:p>
        </w:tc>
      </w:tr>
    </w:tbl>
    <w:p>
      <w:pPr>
        <w:pStyle w:val="Heading2"/>
        <w:keepNext/>
        <w:spacing w:after="30" w:before="80"/>
      </w:pPr>
      <w:r>
        <w:rPr>
          <w:rFonts w:ascii="Times New Roman" w:cs="Times New Roman" w:eastAsia="Times New Roman" w:hAnsi="Times New Roman"/>
          <w:b/>
          <w:bCs/>
          <w:sz w:val="19"/>
          <w:szCs w:val="19"/>
        </w:rPr>
        <w:t xml:space="preserve">5.2 Challenges</w:t>
      </w:r>
    </w:p>
    <w:p>
      <w:pPr>
        <w:pStyle w:val="ListParagraph"/>
        <w:numPr>
          <w:ilvl w:val="0"/>
          <w:numId w:val="6"/>
        </w:numPr>
        <w:spacing w:after="20" w:line="228"/>
        <w:jc w:val="both"/>
      </w:pPr>
      <w:r>
        <w:rPr>
          <w:rFonts w:ascii="Times New Roman" w:cs="Times New Roman" w:eastAsia="Times New Roman" w:hAnsi="Times New Roman"/>
          <w:b/>
          <w:bCs/>
          <w:sz w:val="18"/>
          <w:szCs w:val="18"/>
        </w:rPr>
        <w:t xml:space="preserve">Restricted environment.</w:t>
      </w:r>
      <w:r>
        <w:rPr>
          <w:rFonts w:ascii="Times New Roman" w:cs="Times New Roman" w:eastAsia="Times New Roman" w:hAnsi="Times New Roman"/>
          <w:sz w:val="18"/>
          <w:szCs w:val="18"/>
        </w:rPr>
        <w:t xml:space="preserve"> Package mirrors were unreachable, so OpenVPN, OpenSSH, iperf3, wireguard-tools, wireguard-go (with locally mirrored Go modules), libcap-ng and iproute2 were compiled from source.</w:t>
      </w:r>
    </w:p>
    <w:p>
      <w:pPr>
        <w:pStyle w:val="ListParagraph"/>
        <w:numPr>
          <w:ilvl w:val="0"/>
          <w:numId w:val="6"/>
        </w:numPr>
        <w:spacing w:after="20" w:line="228"/>
        <w:jc w:val="both"/>
      </w:pPr>
      <w:r>
        <w:rPr>
          <w:rFonts w:ascii="Times New Roman" w:cs="Times New Roman" w:eastAsia="Times New Roman" w:hAnsi="Times New Roman"/>
          <w:b/>
          <w:bCs/>
          <w:sz w:val="18"/>
          <w:szCs w:val="18"/>
        </w:rPr>
        <w:t xml:space="preserve">No netem, no kernel WireGuard.</w:t>
      </w:r>
      <w:r>
        <w:rPr>
          <w:rFonts w:ascii="Times New Roman" w:cs="Times New Roman" w:eastAsia="Times New Roman" w:hAnsi="Times New Roman"/>
          <w:sz w:val="18"/>
          <w:szCs w:val="18"/>
        </w:rPr>
        <w:t xml:space="preserve"> We wrote the TUN-based </w:t>
      </w:r>
      <w:r>
        <w:rPr>
          <w:rFonts w:ascii="Courier New" w:cs="Courier New" w:eastAsia="Courier New" w:hAnsi="Courier New"/>
          <w:sz w:val="16"/>
          <w:szCs w:val="16"/>
        </w:rPr>
        <w:t xml:space="preserve">impair</w:t>
      </w:r>
      <w:r>
        <w:rPr>
          <w:rFonts w:ascii="Times New Roman" w:cs="Times New Roman" w:eastAsia="Times New Roman" w:hAnsi="Times New Roman"/>
          <w:sz w:val="18"/>
          <w:szCs w:val="18"/>
        </w:rPr>
        <w:t xml:space="preserve"> emulator and validated it against the 1/√p law; WireGuard ran as wireguard-go.</w:t>
      </w:r>
    </w:p>
    <w:p>
      <w:pPr>
        <w:pStyle w:val="ListParagraph"/>
        <w:numPr>
          <w:ilvl w:val="0"/>
          <w:numId w:val="6"/>
        </w:numPr>
        <w:spacing w:after="20" w:line="228"/>
        <w:jc w:val="both"/>
      </w:pPr>
      <w:r>
        <w:rPr>
          <w:rFonts w:ascii="Times New Roman" w:cs="Times New Roman" w:eastAsia="Times New Roman" w:hAnsi="Times New Roman"/>
          <w:b/>
          <w:bCs/>
          <w:sz w:val="18"/>
          <w:szCs w:val="18"/>
        </w:rPr>
        <w:t xml:space="preserve">Default BBR.</w:t>
      </w:r>
      <w:r>
        <w:rPr>
          <w:rFonts w:ascii="Times New Roman" w:cs="Times New Roman" w:eastAsia="Times New Roman" w:hAnsi="Times New Roman"/>
          <w:sz w:val="18"/>
          <w:szCs w:val="18"/>
        </w:rPr>
        <w:t xml:space="preserve"> The VM shipped with BBR, which masked loss effects entirely; we switched the namespaces to CUBIC for the main sweep and kept BBR as an ablation.</w:t>
      </w:r>
    </w:p>
    <w:p>
      <w:pPr>
        <w:pStyle w:val="ListParagraph"/>
        <w:numPr>
          <w:ilvl w:val="0"/>
          <w:numId w:val="6"/>
        </w:numPr>
        <w:spacing w:after="20" w:line="228"/>
        <w:jc w:val="both"/>
      </w:pPr>
      <w:r>
        <w:rPr>
          <w:rFonts w:ascii="Times New Roman" w:cs="Times New Roman" w:eastAsia="Times New Roman" w:hAnsi="Times New Roman"/>
          <w:b/>
          <w:bCs/>
          <w:sz w:val="18"/>
          <w:szCs w:val="18"/>
        </w:rPr>
        <w:t xml:space="preserve">Measurement artefacts.</w:t>
      </w:r>
      <w:r>
        <w:rPr>
          <w:rFonts w:ascii="Times New Roman" w:cs="Times New Roman" w:eastAsia="Times New Roman" w:hAnsi="Times New Roman"/>
          <w:sz w:val="18"/>
          <w:szCs w:val="18"/>
        </w:rPr>
        <w:t xml:space="preserve"> Back-to-back iperf3 runs through SSH-L at 5% loss failed, most likely because data still buffered in the SSH channel kept the server busy; fresh tunnels per trial fixed this. OpenVPN’s point-to-point TCP mode refuses new connections once a peer is attached, so its probe was run before the client connected.</w:t>
      </w:r>
    </w:p>
    <w:p>
      <w:pPr>
        <w:pStyle w:val="Heading2"/>
        <w:keepNext/>
        <w:spacing w:after="30" w:before="80"/>
      </w:pPr>
      <w:r>
        <w:rPr>
          <w:rFonts w:ascii="Times New Roman" w:cs="Times New Roman" w:eastAsia="Times New Roman" w:hAnsi="Times New Roman"/>
          <w:b/>
          <w:bCs/>
          <w:sz w:val="19"/>
          <w:szCs w:val="19"/>
        </w:rPr>
        <w:t xml:space="preserve">5.3 Limitations and Improvements</w:t>
      </w:r>
    </w:p>
    <w:p>
      <w:pPr>
        <w:pStyle w:val="ListParagraph"/>
        <w:numPr>
          <w:ilvl w:val="0"/>
          <w:numId w:val="6"/>
        </w:numPr>
        <w:spacing w:after="20" w:line="228"/>
        <w:jc w:val="both"/>
      </w:pPr>
      <w:r>
        <w:rPr>
          <w:rFonts w:ascii="Times New Roman" w:cs="Times New Roman" w:eastAsia="Times New Roman" w:hAnsi="Times New Roman"/>
          <w:b/>
          <w:bCs/>
          <w:sz w:val="18"/>
          <w:szCs w:val="18"/>
        </w:rPr>
        <w:t xml:space="preserve">Single host.</w:t>
      </w:r>
      <w:r>
        <w:rPr>
          <w:rFonts w:ascii="Times New Roman" w:cs="Times New Roman" w:eastAsia="Times New Roman" w:hAnsi="Times New Roman"/>
          <w:sz w:val="18"/>
          <w:szCs w:val="18"/>
        </w:rPr>
        <w:t xml:space="preserve"> Both endpoints share one VM; veth segmentation offload favours byte-stream transports, so absolute raw and SSH-L rates exceed what a physical NIC would allow.</w:t>
      </w:r>
    </w:p>
    <w:p>
      <w:pPr>
        <w:pStyle w:val="ListParagraph"/>
        <w:numPr>
          <w:ilvl w:val="0"/>
          <w:numId w:val="6"/>
        </w:numPr>
        <w:spacing w:after="20" w:line="228"/>
        <w:jc w:val="both"/>
      </w:pPr>
      <w:r>
        <w:rPr>
          <w:rFonts w:ascii="Times New Roman" w:cs="Times New Roman" w:eastAsia="Times New Roman" w:hAnsi="Times New Roman"/>
          <w:b/>
          <w:bCs/>
          <w:sz w:val="18"/>
          <w:szCs w:val="18"/>
        </w:rPr>
        <w:t xml:space="preserve">Userspace WireGuard.</w:t>
      </w:r>
      <w:r>
        <w:rPr>
          <w:rFonts w:ascii="Times New Roman" w:cs="Times New Roman" w:eastAsia="Times New Roman" w:hAnsi="Times New Roman"/>
          <w:sz w:val="18"/>
          <w:szCs w:val="18"/>
        </w:rPr>
        <w:t xml:space="preserve"> Kernel WireGuard and OpenVPN-DCO avoid TUN copies and would likely narrow the gaps [5, 15, 16].</w:t>
      </w:r>
    </w:p>
    <w:p>
      <w:pPr>
        <w:pStyle w:val="ListParagraph"/>
        <w:numPr>
          <w:ilvl w:val="0"/>
          <w:numId w:val="6"/>
        </w:numPr>
        <w:spacing w:after="20" w:line="228"/>
        <w:jc w:val="both"/>
      </w:pPr>
      <w:r>
        <w:rPr>
          <w:rFonts w:ascii="Times New Roman" w:cs="Times New Roman" w:eastAsia="Times New Roman" w:hAnsi="Times New Roman"/>
          <w:b/>
          <w:bCs/>
          <w:sz w:val="18"/>
          <w:szCs w:val="18"/>
        </w:rPr>
        <w:t xml:space="preserve">Simple impairment.</w:t>
      </w:r>
      <w:r>
        <w:rPr>
          <w:rFonts w:ascii="Times New Roman" w:cs="Times New Roman" w:eastAsia="Times New Roman" w:hAnsi="Times New Roman"/>
          <w:sz w:val="18"/>
          <w:szCs w:val="18"/>
        </w:rPr>
        <w:t xml:space="preserve"> Loss is Bernoulli at one RTT; bursty (Gilbert–Elliott) loss, RTT sweeps and longer runs would strengthen RQ2.</w:t>
      </w:r>
    </w:p>
    <w:p>
      <w:pPr>
        <w:pStyle w:val="ListParagraph"/>
        <w:numPr>
          <w:ilvl w:val="0"/>
          <w:numId w:val="6"/>
        </w:numPr>
        <w:spacing w:after="20" w:line="228"/>
        <w:jc w:val="both"/>
      </w:pPr>
      <w:r>
        <w:rPr>
          <w:rFonts w:ascii="Times New Roman" w:cs="Times New Roman" w:eastAsia="Times New Roman" w:hAnsi="Times New Roman"/>
          <w:b/>
          <w:bCs/>
          <w:sz w:val="18"/>
          <w:szCs w:val="18"/>
        </w:rPr>
        <w:t xml:space="preserve">Workload coverage.</w:t>
      </w:r>
      <w:r>
        <w:rPr>
          <w:rFonts w:ascii="Times New Roman" w:cs="Times New Roman" w:eastAsia="Times New Roman" w:hAnsi="Times New Roman"/>
          <w:sz w:val="18"/>
          <w:szCs w:val="18"/>
        </w:rPr>
        <w:t xml:space="preserve"> We measured uploads with bulk TCP and small request/response messages only; UDP applications, downloads and mixed traffic were not tested, and loss sweeps used n = 3, giving wide intervals at 5% loss.</w:t>
      </w:r>
    </w:p>
    <w:p>
      <w:pPr>
        <w:pStyle w:val="ListParagraph"/>
        <w:numPr>
          <w:ilvl w:val="0"/>
          <w:numId w:val="6"/>
        </w:numPr>
        <w:spacing w:after="20" w:line="228"/>
        <w:jc w:val="both"/>
      </w:pPr>
      <w:r>
        <w:rPr>
          <w:rFonts w:ascii="Times New Roman" w:cs="Times New Roman" w:eastAsia="Times New Roman" w:hAnsi="Times New Roman"/>
          <w:b/>
          <w:bCs/>
          <w:sz w:val="18"/>
          <w:szCs w:val="18"/>
        </w:rPr>
        <w:t xml:space="preserve">Probe overhead.</w:t>
      </w:r>
      <w:r>
        <w:rPr>
          <w:rFonts w:ascii="Times New Roman" w:cs="Times New Roman" w:eastAsia="Times New Roman" w:hAnsi="Times New Roman"/>
          <w:sz w:val="18"/>
          <w:szCs w:val="18"/>
        </w:rPr>
        <w:t xml:space="preserve"> The Python RR probe adds a constant ≈50 µs to every round trip; ΔRTT cancels it, but absolute RTTs are pessimistic. Setup times have 50 ms polling granularity.</w:t>
      </w:r>
    </w:p>
    <w:p>
      <w:pPr>
        <w:pStyle w:val="ListParagraph"/>
        <w:numPr>
          <w:ilvl w:val="0"/>
          <w:numId w:val="6"/>
        </w:numPr>
        <w:spacing w:after="20" w:line="228"/>
        <w:jc w:val="both"/>
      </w:pPr>
      <w:r>
        <w:rPr>
          <w:rFonts w:ascii="Times New Roman" w:cs="Times New Roman" w:eastAsia="Times New Roman" w:hAnsi="Times New Roman"/>
          <w:b/>
          <w:bCs/>
          <w:sz w:val="18"/>
          <w:szCs w:val="18"/>
        </w:rPr>
        <w:t xml:space="preserve">Security depth.</w:t>
      </w:r>
      <w:r>
        <w:rPr>
          <w:rFonts w:ascii="Times New Roman" w:cs="Times New Roman" w:eastAsia="Times New Roman" w:hAnsi="Times New Roman"/>
          <w:sz w:val="18"/>
          <w:szCs w:val="18"/>
        </w:rPr>
        <w:t xml:space="preserve"> Probing and literature review are not cryptanalysis; a handshake-flood DoS experiment is a natural next step.</w:t>
      </w:r>
    </w:p>
    <w:p>
      <w:pPr>
        <w:pStyle w:val="Heading2"/>
        <w:keepNext/>
        <w:spacing w:after="30" w:before="80"/>
      </w:pPr>
      <w:r>
        <w:rPr>
          <w:rFonts w:ascii="Times New Roman" w:cs="Times New Roman" w:eastAsia="Times New Roman" w:hAnsi="Times New Roman"/>
          <w:b/>
          <w:bCs/>
          <w:sz w:val="19"/>
          <w:szCs w:val="19"/>
        </w:rPr>
        <w:t xml:space="preserve">5.4 Hardening Recommendations</w:t>
      </w:r>
    </w:p>
    <w:p>
      <w:pPr>
        <w:spacing w:after="20" w:before="0" w:line="228"/>
        <w:jc w:val="both"/>
      </w:pPr>
      <w:r>
        <w:rPr>
          <w:rFonts w:ascii="Times New Roman" w:cs="Times New Roman" w:eastAsia="Times New Roman" w:hAnsi="Times New Roman"/>
          <w:sz w:val="18"/>
          <w:szCs w:val="18"/>
        </w:rPr>
        <w:t xml:space="preserve">Our probes translate into concrete configuration advice:</w:t>
      </w:r>
    </w:p>
    <w:p>
      <w:pPr>
        <w:pStyle w:val="ListParagraph"/>
        <w:numPr>
          <w:ilvl w:val="0"/>
          <w:numId w:val="6"/>
        </w:numPr>
        <w:spacing w:after="20" w:line="228"/>
        <w:jc w:val="both"/>
      </w:pPr>
      <w:r>
        <w:rPr>
          <w:rFonts w:ascii="Times New Roman" w:cs="Times New Roman" w:eastAsia="Times New Roman" w:hAnsi="Times New Roman"/>
          <w:b/>
          <w:bCs/>
          <w:sz w:val="18"/>
          <w:szCs w:val="18"/>
        </w:rPr>
        <w:t xml:space="preserve">WireGuard:</w:t>
      </w:r>
      <w:r>
        <w:rPr>
          <w:rFonts w:ascii="Times New Roman" w:cs="Times New Roman" w:eastAsia="Times New Roman" w:hAnsi="Times New Roman"/>
          <w:sz w:val="18"/>
          <w:szCs w:val="18"/>
        </w:rPr>
        <w:t xml:space="preserve"> keep AllowedIPs to the minimum prefixes and filter forwarded traffic, because the tunnel otherwise grants subnet-wide access.</w:t>
      </w:r>
    </w:p>
    <w:p>
      <w:pPr>
        <w:pStyle w:val="ListParagraph"/>
        <w:numPr>
          <w:ilvl w:val="0"/>
          <w:numId w:val="6"/>
        </w:numPr>
        <w:spacing w:after="20" w:line="228"/>
        <w:jc w:val="both"/>
      </w:pPr>
      <w:r>
        <w:rPr>
          <w:rFonts w:ascii="Times New Roman" w:cs="Times New Roman" w:eastAsia="Times New Roman" w:hAnsi="Times New Roman"/>
          <w:b/>
          <w:bCs/>
          <w:sz w:val="18"/>
          <w:szCs w:val="18"/>
        </w:rPr>
        <w:t xml:space="preserve">OpenVPN:</w:t>
      </w:r>
      <w:r>
        <w:rPr>
          <w:rFonts w:ascii="Times New Roman" w:cs="Times New Roman" w:eastAsia="Times New Roman" w:hAnsi="Times New Roman"/>
          <w:sz w:val="18"/>
          <w:szCs w:val="18"/>
        </w:rPr>
        <w:t xml:space="preserve"> always enable tls-crypt (it removed the only probe response we observed), restrict </w:t>
      </w:r>
      <w:r>
        <w:rPr>
          <w:rFonts w:ascii="Courier New" w:cs="Courier New" w:eastAsia="Courier New" w:hAnsi="Courier New"/>
          <w:sz w:val="16"/>
          <w:szCs w:val="16"/>
        </w:rPr>
        <w:t xml:space="preserve">data-ciphers</w:t>
      </w:r>
      <w:r>
        <w:rPr>
          <w:rFonts w:ascii="Times New Roman" w:cs="Times New Roman" w:eastAsia="Times New Roman" w:hAnsi="Times New Roman"/>
          <w:sz w:val="18"/>
          <w:szCs w:val="18"/>
        </w:rPr>
        <w:t xml:space="preserve"> to AEAD suites to exclude Sweet32-prone 64-bit ciphers [3], and prefer DCO where the kernel supports it [16].</w:t>
      </w:r>
    </w:p>
    <w:p>
      <w:pPr>
        <w:pStyle w:val="ListParagraph"/>
        <w:numPr>
          <w:ilvl w:val="0"/>
          <w:numId w:val="6"/>
        </w:numPr>
        <w:spacing w:after="20" w:line="228"/>
        <w:jc w:val="both"/>
      </w:pPr>
      <w:r>
        <w:rPr>
          <w:rFonts w:ascii="Times New Roman" w:cs="Times New Roman" w:eastAsia="Times New Roman" w:hAnsi="Times New Roman"/>
          <w:b/>
          <w:bCs/>
          <w:sz w:val="18"/>
          <w:szCs w:val="18"/>
        </w:rPr>
        <w:t xml:space="preserve">SSH:</w:t>
      </w:r>
      <w:r>
        <w:rPr>
          <w:rFonts w:ascii="Times New Roman" w:cs="Times New Roman" w:eastAsia="Times New Roman" w:hAnsi="Times New Roman"/>
          <w:sz w:val="18"/>
          <w:szCs w:val="18"/>
        </w:rPr>
        <w:t xml:space="preserve"> disable password authentication, restrict forwarding with </w:t>
      </w:r>
      <w:r>
        <w:rPr>
          <w:rFonts w:ascii="Courier New" w:cs="Courier New" w:eastAsia="Courier New" w:hAnsi="Courier New"/>
          <w:sz w:val="16"/>
          <w:szCs w:val="16"/>
        </w:rPr>
        <w:t xml:space="preserve">PermitOpen</w:t>
      </w:r>
      <w:r>
        <w:rPr>
          <w:rFonts w:ascii="Times New Roman" w:cs="Times New Roman" w:eastAsia="Times New Roman" w:hAnsi="Times New Roman"/>
          <w:sz w:val="18"/>
          <w:szCs w:val="18"/>
        </w:rPr>
        <w:t xml:space="preserve"> or per-key </w:t>
      </w:r>
      <w:r>
        <w:rPr>
          <w:rFonts w:ascii="Courier New" w:cs="Courier New" w:eastAsia="Courier New" w:hAnsi="Courier New"/>
          <w:sz w:val="16"/>
          <w:szCs w:val="16"/>
        </w:rPr>
        <w:t xml:space="preserve">permitopen=</w:t>
      </w:r>
      <w:r>
        <w:rPr>
          <w:rFonts w:ascii="Times New Roman" w:cs="Times New Roman" w:eastAsia="Times New Roman" w:hAnsi="Times New Roman"/>
          <w:sz w:val="18"/>
          <w:szCs w:val="18"/>
        </w:rPr>
        <w:t xml:space="preserve">, keep OpenSSH at a version with strict key exchange against Terrapin [2], and hide the listener behind a firewall or VPN since the version banner cannot be suppressed.</w:t>
      </w:r>
    </w:p>
    <w:p>
      <w:pPr>
        <w:pStyle w:val="Heading1"/>
        <w:keepNext/>
        <w:spacing w:after="50" w:before="120"/>
      </w:pPr>
      <w:r>
        <w:rPr>
          <w:rFonts w:ascii="Times New Roman" w:cs="Times New Roman" w:eastAsia="Times New Roman" w:hAnsi="Times New Roman"/>
          <w:b/>
          <w:bCs/>
          <w:sz w:val="20"/>
          <w:szCs w:val="20"/>
        </w:rPr>
        <w:t xml:space="preserve">6 CONCLUDING REMARKS</w:t>
      </w:r>
    </w:p>
    <w:p>
      <w:pPr>
        <w:spacing w:after="40" w:before="0" w:line="228"/>
        <w:jc w:val="both"/>
      </w:pPr>
      <w:r>
        <w:rPr>
          <w:rFonts w:ascii="Times New Roman" w:cs="Times New Roman" w:eastAsia="Times New Roman" w:hAnsi="Times New Roman"/>
          <w:sz w:val="18"/>
          <w:szCs w:val="18"/>
        </w:rPr>
        <w:t xml:space="preserve">We compared WireGuard, OpenVPN and two SSH tunnelling modes on a reproducible namespace testbed, with repeated trials and confidence intervals. Three takeaways stand out. First, per-packet processing dominates cost: byte-stream SSH forwarding and batching WireGuard outperform per-packet OpenVPN and SSH -w regardless of cipher. Second, TCP-over-TCP meltdown did not appear under CUBIC, but stacking TCP costs 28–43% of throughput under BBR. Third, the protocols differ most in security posture: WireGuard and tls-crypt-protected OpenVPN are silent to unauthenticated probes, whereas SSH advertises its version but limits access to a single port. Beyond the measurements, the study contributes a reusable namespace testbed with a netem-free impairment emulator, a metric set that separates throughput, CPU, overhead, loss retention and setup cost, and a deployment guide grounded in data rather than familiarity. Future work will repeat the study on two physical hosts with kernel WireGuard and OpenVPN DCO, add bursty loss and handshake-flood tests, and measure energy on ARM edge gateways.</w:t>
      </w:r>
    </w:p>
    <w:p>
      <w:pPr>
        <w:sectPr>
          <w:type w:val="continuous"/>
          <w:pgSz w:w="12240" w:h="15840" w:orient="portrait"/>
          <w:pgMar w:top="1080" w:right="1000" w:bottom="1080" w:left="1000" w:header="708" w:footer="708" w:gutter="0"/>
          <w:pgNumType/>
          <w:cols w:space="400" w:num="2" w:equalWidth="true"/>
          <w:docGrid w:linePitch="360"/>
        </w:sectPr>
      </w:pPr>
    </w:p>
    <w:p/>
    <w:p>
      <w:pPr>
        <w:sectPr>
          <w:type w:val="continuous"/>
          <w:pgSz w:w="12240" w:h="15840" w:orient="portrait"/>
          <w:pgMar w:top="1080" w:right="1000" w:bottom="1080" w:left="1000" w:header="708" w:footer="708" w:gutter="0"/>
          <w:pgNumType/>
          <w:cols w:space="400" w:num="2" w:equalWidth="true"/>
          <w:docGrid w:linePitch="360"/>
        </w:sectPr>
      </w:pPr>
    </w:p>
    <w:p>
      <w:pPr>
        <w:spacing w:after="60"/>
      </w:pPr>
      <w:r>
        <w:rPr>
          <w:rFonts w:ascii="Times New Roman" w:cs="Times New Roman" w:eastAsia="Times New Roman" w:hAnsi="Times New Roman"/>
          <w:b/>
          <w:bCs/>
          <w:sz w:val="20"/>
          <w:szCs w:val="20"/>
        </w:rPr>
        <w:t xml:space="preserve">REFERENCES</w:t>
      </w:r>
    </w:p>
    <w:p>
      <w:pPr>
        <w:tabs>
          <w:tab w:val="left" w:pos="320"/>
        </w:tabs>
        <w:spacing w:after="30" w:line="200"/>
        <w:ind w:left="320" w:hanging="320"/>
        <w:jc w:val="left"/>
      </w:pPr>
      <w:r>
        <w:rPr>
          <w:rFonts w:ascii="Times New Roman" w:cs="Times New Roman" w:eastAsia="Times New Roman" w:hAnsi="Times New Roman"/>
          <w:sz w:val="14"/>
          <w:szCs w:val="14"/>
        </w:rPr>
        <w:t xml:space="preserve">[1]	</w:t>
      </w:r>
      <w:r>
        <w:rPr>
          <w:rFonts w:ascii="Times New Roman" w:cs="Times New Roman" w:eastAsia="Times New Roman" w:hAnsi="Times New Roman"/>
          <w:sz w:val="14"/>
          <w:szCs w:val="14"/>
        </w:rPr>
        <w:t xml:space="preserve">Martin R. Albrecht, Kenneth G. Paterson, and Gaven J. Watson. 2009. Plaintext Recovery Attacks against SSH. In </w:t>
      </w:r>
      <w:r>
        <w:rPr>
          <w:rFonts w:ascii="Times New Roman" w:cs="Times New Roman" w:eastAsia="Times New Roman" w:hAnsi="Times New Roman"/>
          <w:i/>
          <w:iCs/>
          <w:sz w:val="14"/>
          <w:szCs w:val="14"/>
        </w:rPr>
        <w:t xml:space="preserve">Proceedings of the 2009 30th IEEE Symposium on Security and Privacy (SP ’09)</w:t>
      </w:r>
      <w:r>
        <w:rPr>
          <w:rFonts w:ascii="Times New Roman" w:cs="Times New Roman" w:eastAsia="Times New Roman" w:hAnsi="Times New Roman"/>
          <w:sz w:val="14"/>
          <w:szCs w:val="14"/>
        </w:rPr>
        <w:t xml:space="preserve">. IEEE, 16–26. https://doi.org/10.1109/SP.2009.5</w:t>
      </w:r>
    </w:p>
    <w:p>
      <w:pPr>
        <w:tabs>
          <w:tab w:val="left" w:pos="320"/>
        </w:tabs>
        <w:spacing w:after="30" w:line="200"/>
        <w:ind w:left="320" w:hanging="320"/>
        <w:jc w:val="left"/>
      </w:pPr>
      <w:r>
        <w:rPr>
          <w:rFonts w:ascii="Times New Roman" w:cs="Times New Roman" w:eastAsia="Times New Roman" w:hAnsi="Times New Roman"/>
          <w:sz w:val="14"/>
          <w:szCs w:val="14"/>
        </w:rPr>
        <w:t xml:space="preserve">[2]	</w:t>
      </w:r>
      <w:r>
        <w:rPr>
          <w:rFonts w:ascii="Times New Roman" w:cs="Times New Roman" w:eastAsia="Times New Roman" w:hAnsi="Times New Roman"/>
          <w:sz w:val="14"/>
          <w:szCs w:val="14"/>
        </w:rPr>
        <w:t xml:space="preserve">Fabian Bäumer, Marcus Brinkmann, and Jörg Schwenk. 2024. Terrapin Attack: Breaking SSH Channel Integrity By Sequence Number Manipulation. In </w:t>
      </w:r>
      <w:r>
        <w:rPr>
          <w:rFonts w:ascii="Times New Roman" w:cs="Times New Roman" w:eastAsia="Times New Roman" w:hAnsi="Times New Roman"/>
          <w:i/>
          <w:iCs/>
          <w:sz w:val="14"/>
          <w:szCs w:val="14"/>
        </w:rPr>
        <w:t xml:space="preserve">Proceedings of the 33rd USENIX Security Symposium (USENIX Security ’24)</w:t>
      </w:r>
      <w:r>
        <w:rPr>
          <w:rFonts w:ascii="Times New Roman" w:cs="Times New Roman" w:eastAsia="Times New Roman" w:hAnsi="Times New Roman"/>
          <w:sz w:val="14"/>
          <w:szCs w:val="14"/>
        </w:rPr>
        <w:t xml:space="preserve">. USENIX Association, Philadelphia, PA, USA. https://www.usenix.org/conference/usenixsecurity24/presentation/b%C3%A4umer</w:t>
      </w:r>
    </w:p>
    <w:p>
      <w:pPr>
        <w:tabs>
          <w:tab w:val="left" w:pos="320"/>
        </w:tabs>
        <w:spacing w:after="30" w:line="200"/>
        <w:ind w:left="320" w:hanging="320"/>
        <w:jc w:val="left"/>
      </w:pPr>
      <w:r>
        <w:rPr>
          <w:rFonts w:ascii="Times New Roman" w:cs="Times New Roman" w:eastAsia="Times New Roman" w:hAnsi="Times New Roman"/>
          <w:sz w:val="14"/>
          <w:szCs w:val="14"/>
        </w:rPr>
        <w:t xml:space="preserve">[3]	</w:t>
      </w:r>
      <w:r>
        <w:rPr>
          <w:rFonts w:ascii="Times New Roman" w:cs="Times New Roman" w:eastAsia="Times New Roman" w:hAnsi="Times New Roman"/>
          <w:sz w:val="14"/>
          <w:szCs w:val="14"/>
        </w:rPr>
        <w:t xml:space="preserve">Karthikeyan Bhargavan and Gaëtan Leurent. 2016. On the Practical (In-)Security of 64-bit Block Ciphers: Collision Attacks on HTTP over TLS and OpenVPN. In </w:t>
      </w:r>
      <w:r>
        <w:rPr>
          <w:rFonts w:ascii="Times New Roman" w:cs="Times New Roman" w:eastAsia="Times New Roman" w:hAnsi="Times New Roman"/>
          <w:i/>
          <w:iCs/>
          <w:sz w:val="14"/>
          <w:szCs w:val="14"/>
        </w:rPr>
        <w:t xml:space="preserve">Proceedings of the 2016 ACM SIGSAC Conference on Computer and Communications Security (CCS ’16)</w:t>
      </w:r>
      <w:r>
        <w:rPr>
          <w:rFonts w:ascii="Times New Roman" w:cs="Times New Roman" w:eastAsia="Times New Roman" w:hAnsi="Times New Roman"/>
          <w:sz w:val="14"/>
          <w:szCs w:val="14"/>
        </w:rPr>
        <w:t xml:space="preserve">. ACM, 456–467. https://doi.org/10.1145/2976749.2978423</w:t>
      </w:r>
    </w:p>
    <w:p>
      <w:pPr>
        <w:tabs>
          <w:tab w:val="left" w:pos="320"/>
        </w:tabs>
        <w:spacing w:after="30" w:line="200"/>
        <w:ind w:left="320" w:hanging="320"/>
        <w:jc w:val="left"/>
      </w:pPr>
      <w:r>
        <w:rPr>
          <w:rFonts w:ascii="Times New Roman" w:cs="Times New Roman" w:eastAsia="Times New Roman" w:hAnsi="Times New Roman"/>
          <w:sz w:val="14"/>
          <w:szCs w:val="14"/>
        </w:rPr>
        <w:t xml:space="preserve">[4]	</w:t>
      </w:r>
      <w:r>
        <w:rPr>
          <w:rFonts w:ascii="Times New Roman" w:cs="Times New Roman" w:eastAsia="Times New Roman" w:hAnsi="Times New Roman"/>
          <w:sz w:val="14"/>
          <w:szCs w:val="14"/>
        </w:rPr>
        <w:t xml:space="preserve">Neal Cardwell, Yuchung Cheng, C. Stephen Gunn, Soheil Hassas Yeganeh, and Van Jacobson. 2016. BBR: Congestion-Based Congestion Control. </w:t>
      </w:r>
      <w:r>
        <w:rPr>
          <w:rFonts w:ascii="Times New Roman" w:cs="Times New Roman" w:eastAsia="Times New Roman" w:hAnsi="Times New Roman"/>
          <w:i/>
          <w:iCs/>
          <w:sz w:val="14"/>
          <w:szCs w:val="14"/>
        </w:rPr>
        <w:t xml:space="preserve">ACM Queue</w:t>
      </w:r>
      <w:r>
        <w:rPr>
          <w:rFonts w:ascii="Times New Roman" w:cs="Times New Roman" w:eastAsia="Times New Roman" w:hAnsi="Times New Roman"/>
          <w:sz w:val="14"/>
          <w:szCs w:val="14"/>
        </w:rPr>
        <w:t xml:space="preserve"> 14, 5 (2016), 20–53. https://doi.org/10.1145/3012426.3022184</w:t>
      </w:r>
    </w:p>
    <w:p>
      <w:pPr>
        <w:tabs>
          <w:tab w:val="left" w:pos="320"/>
        </w:tabs>
        <w:spacing w:after="30" w:line="200"/>
        <w:ind w:left="320" w:hanging="320"/>
        <w:jc w:val="left"/>
      </w:pPr>
      <w:r>
        <w:rPr>
          <w:rFonts w:ascii="Times New Roman" w:cs="Times New Roman" w:eastAsia="Times New Roman" w:hAnsi="Times New Roman"/>
          <w:sz w:val="14"/>
          <w:szCs w:val="14"/>
        </w:rPr>
        <w:t xml:space="preserve">[5]	</w:t>
      </w:r>
      <w:r>
        <w:rPr>
          <w:rFonts w:ascii="Times New Roman" w:cs="Times New Roman" w:eastAsia="Times New Roman" w:hAnsi="Times New Roman"/>
          <w:sz w:val="14"/>
          <w:szCs w:val="14"/>
        </w:rPr>
        <w:t xml:space="preserve">Jason A. Donenfeld. 2017. WireGuard: Next Generation Kernel Network Tunnel. In </w:t>
      </w:r>
      <w:r>
        <w:rPr>
          <w:rFonts w:ascii="Times New Roman" w:cs="Times New Roman" w:eastAsia="Times New Roman" w:hAnsi="Times New Roman"/>
          <w:i/>
          <w:iCs/>
          <w:sz w:val="14"/>
          <w:szCs w:val="14"/>
        </w:rPr>
        <w:t xml:space="preserve">Proceedings of the Network and Distributed System Security Symposium (NDSS ’17)</w:t>
      </w:r>
      <w:r>
        <w:rPr>
          <w:rFonts w:ascii="Times New Roman" w:cs="Times New Roman" w:eastAsia="Times New Roman" w:hAnsi="Times New Roman"/>
          <w:sz w:val="14"/>
          <w:szCs w:val="14"/>
        </w:rPr>
        <w:t xml:space="preserve">. Internet Society. https://doi.org/10.14722/ndss.2017.23160</w:t>
      </w:r>
    </w:p>
    <w:p>
      <w:pPr>
        <w:tabs>
          <w:tab w:val="left" w:pos="320"/>
        </w:tabs>
        <w:spacing w:after="30" w:line="200"/>
        <w:ind w:left="320" w:hanging="320"/>
        <w:jc w:val="left"/>
      </w:pPr>
      <w:r>
        <w:rPr>
          <w:rFonts w:ascii="Times New Roman" w:cs="Times New Roman" w:eastAsia="Times New Roman" w:hAnsi="Times New Roman"/>
          <w:sz w:val="14"/>
          <w:szCs w:val="14"/>
        </w:rPr>
        <w:t xml:space="preserve">[6]	</w:t>
      </w:r>
      <w:r>
        <w:rPr>
          <w:rFonts w:ascii="Times New Roman" w:cs="Times New Roman" w:eastAsia="Times New Roman" w:hAnsi="Times New Roman"/>
          <w:sz w:val="14"/>
          <w:szCs w:val="14"/>
        </w:rPr>
        <w:t xml:space="preserve">Benjamin Dowling and Kenneth G. Paterson. 2018. A Cryptographic Analysis of the WireGuard Protocol. In </w:t>
      </w:r>
      <w:r>
        <w:rPr>
          <w:rFonts w:ascii="Times New Roman" w:cs="Times New Roman" w:eastAsia="Times New Roman" w:hAnsi="Times New Roman"/>
          <w:i/>
          <w:iCs/>
          <w:sz w:val="14"/>
          <w:szCs w:val="14"/>
        </w:rPr>
        <w:t xml:space="preserve">Applied Cryptography and Network Security (ACNS 2018)</w:t>
      </w:r>
      <w:r>
        <w:rPr>
          <w:rFonts w:ascii="Times New Roman" w:cs="Times New Roman" w:eastAsia="Times New Roman" w:hAnsi="Times New Roman"/>
          <w:sz w:val="14"/>
          <w:szCs w:val="14"/>
        </w:rPr>
        <w:t xml:space="preserve"> (LNCS, Vol. 10892). Springer, 3–21. https://doi.org/10.1007/978-3-319-93387-0_1</w:t>
      </w:r>
    </w:p>
    <w:p>
      <w:pPr>
        <w:tabs>
          <w:tab w:val="left" w:pos="320"/>
        </w:tabs>
        <w:spacing w:after="30" w:line="200"/>
        <w:ind w:left="320" w:hanging="320"/>
        <w:jc w:val="left"/>
      </w:pPr>
      <w:r>
        <w:rPr>
          <w:rFonts w:ascii="Times New Roman" w:cs="Times New Roman" w:eastAsia="Times New Roman" w:hAnsi="Times New Roman"/>
          <w:sz w:val="14"/>
          <w:szCs w:val="14"/>
        </w:rPr>
        <w:t xml:space="preserve">[7]	</w:t>
      </w:r>
      <w:r>
        <w:rPr>
          <w:rFonts w:ascii="Times New Roman" w:cs="Times New Roman" w:eastAsia="Times New Roman" w:hAnsi="Times New Roman"/>
          <w:sz w:val="14"/>
          <w:szCs w:val="14"/>
        </w:rPr>
        <w:t xml:space="preserve">Sangtae Ha, Injong Rhee, and Lisong Xu. 2008. CUBIC: A New TCP-Friendly High-Speed TCP Variant. </w:t>
      </w:r>
      <w:r>
        <w:rPr>
          <w:rFonts w:ascii="Times New Roman" w:cs="Times New Roman" w:eastAsia="Times New Roman" w:hAnsi="Times New Roman"/>
          <w:i/>
          <w:iCs/>
          <w:sz w:val="14"/>
          <w:szCs w:val="14"/>
        </w:rPr>
        <w:t xml:space="preserve">ACM SIGOPS Operating Systems Review</w:t>
      </w:r>
      <w:r>
        <w:rPr>
          <w:rFonts w:ascii="Times New Roman" w:cs="Times New Roman" w:eastAsia="Times New Roman" w:hAnsi="Times New Roman"/>
          <w:sz w:val="14"/>
          <w:szCs w:val="14"/>
        </w:rPr>
        <w:t xml:space="preserve"> 42, 5 (2008), 64–74. https://doi.org/10.1145/1400097.1400105</w:t>
      </w:r>
    </w:p>
    <w:p>
      <w:pPr>
        <w:tabs>
          <w:tab w:val="left" w:pos="320"/>
        </w:tabs>
        <w:spacing w:after="30" w:line="200"/>
        <w:ind w:left="320" w:hanging="320"/>
        <w:jc w:val="left"/>
      </w:pPr>
      <w:r>
        <w:rPr>
          <w:rFonts w:ascii="Times New Roman" w:cs="Times New Roman" w:eastAsia="Times New Roman" w:hAnsi="Times New Roman"/>
          <w:sz w:val="14"/>
          <w:szCs w:val="14"/>
        </w:rPr>
        <w:t xml:space="preserve">[8]	</w:t>
      </w:r>
      <w:r>
        <w:rPr>
          <w:rFonts w:ascii="Times New Roman" w:cs="Times New Roman" w:eastAsia="Times New Roman" w:hAnsi="Times New Roman"/>
          <w:sz w:val="14"/>
          <w:szCs w:val="14"/>
        </w:rPr>
        <w:t xml:space="preserve">Osamu Honda, Hiroyuki Ohsaki, Makoto Imase, Mika Ishizuka, and Junichi Murayama. 2005. Understanding TCP over TCP: Effects of TCP Tunneling on End-to-End Throughput and Latency. In </w:t>
      </w:r>
      <w:r>
        <w:rPr>
          <w:rFonts w:ascii="Times New Roman" w:cs="Times New Roman" w:eastAsia="Times New Roman" w:hAnsi="Times New Roman"/>
          <w:i/>
          <w:iCs/>
          <w:sz w:val="14"/>
          <w:szCs w:val="14"/>
        </w:rPr>
        <w:t xml:space="preserve">Proceedings of SPIE 6011, Performance, Quality of Service, and Control of Next-Generation Communication and Sensor Networks III</w:t>
      </w:r>
      <w:r>
        <w:rPr>
          <w:rFonts w:ascii="Times New Roman" w:cs="Times New Roman" w:eastAsia="Times New Roman" w:hAnsi="Times New Roman"/>
          <w:sz w:val="14"/>
          <w:szCs w:val="14"/>
        </w:rPr>
        <w:t xml:space="preserve">. SPIE, 60110H. https://doi.org/10.1117/12.630496</w:t>
      </w:r>
    </w:p>
    <w:p>
      <w:pPr>
        <w:tabs>
          <w:tab w:val="left" w:pos="320"/>
        </w:tabs>
        <w:spacing w:after="30" w:line="200"/>
        <w:ind w:left="320" w:hanging="320"/>
        <w:jc w:val="left"/>
      </w:pPr>
      <w:r>
        <w:rPr>
          <w:rFonts w:ascii="Times New Roman" w:cs="Times New Roman" w:eastAsia="Times New Roman" w:hAnsi="Times New Roman"/>
          <w:sz w:val="14"/>
          <w:szCs w:val="14"/>
        </w:rPr>
        <w:t xml:space="preserve">[9]	</w:t>
      </w:r>
      <w:r>
        <w:rPr>
          <w:rFonts w:ascii="Times New Roman" w:cs="Times New Roman" w:eastAsia="Times New Roman" w:hAnsi="Times New Roman"/>
          <w:sz w:val="14"/>
          <w:szCs w:val="14"/>
        </w:rPr>
        <w:t xml:space="preserve">Yoohwan Kim, Russell Harkanson, Ju-Yeon Jo, and Khanh Pham. 2019. Effects of TCP Transfer Buffers and Congestion Avoidance Algorithms on the End-to-End Throughput of TCP-over-TCP Tunnels. In </w:t>
      </w:r>
      <w:r>
        <w:rPr>
          <w:rFonts w:ascii="Times New Roman" w:cs="Times New Roman" w:eastAsia="Times New Roman" w:hAnsi="Times New Roman"/>
          <w:i/>
          <w:iCs/>
          <w:sz w:val="14"/>
          <w:szCs w:val="14"/>
        </w:rPr>
        <w:t xml:space="preserve">16th International Conference on Information Technology–New Generations (ITNG 2019)</w:t>
      </w:r>
      <w:r>
        <w:rPr>
          <w:rFonts w:ascii="Times New Roman" w:cs="Times New Roman" w:eastAsia="Times New Roman" w:hAnsi="Times New Roman"/>
          <w:sz w:val="14"/>
          <w:szCs w:val="14"/>
        </w:rPr>
        <w:t xml:space="preserve"> (AISC, Vol. 800). Springer, 401–408. https://doi.org/10.1007/978-3-030-14070-0_55</w:t>
      </w:r>
    </w:p>
    <w:p>
      <w:pPr>
        <w:tabs>
          <w:tab w:val="left" w:pos="320"/>
        </w:tabs>
        <w:spacing w:after="30" w:line="200"/>
        <w:ind w:left="320" w:hanging="320"/>
        <w:jc w:val="left"/>
      </w:pPr>
      <w:r>
        <w:rPr>
          <w:rFonts w:ascii="Times New Roman" w:cs="Times New Roman" w:eastAsia="Times New Roman" w:hAnsi="Times New Roman"/>
          <w:sz w:val="14"/>
          <w:szCs w:val="14"/>
        </w:rPr>
        <w:t xml:space="preserve">[10]	</w:t>
      </w:r>
      <w:r>
        <w:rPr>
          <w:rFonts w:ascii="Times New Roman" w:cs="Times New Roman" w:eastAsia="Times New Roman" w:hAnsi="Times New Roman"/>
          <w:sz w:val="14"/>
          <w:szCs w:val="14"/>
        </w:rPr>
        <w:t xml:space="preserve">Benjamin Lipp, Bruno Blanchet, and Karthikeyan Bhargavan. 2019. A Mechanised Cryptographic Proof of the WireGuard Virtual Private Network Protocol. In </w:t>
      </w:r>
      <w:r>
        <w:rPr>
          <w:rFonts w:ascii="Times New Roman" w:cs="Times New Roman" w:eastAsia="Times New Roman" w:hAnsi="Times New Roman"/>
          <w:i/>
          <w:iCs/>
          <w:sz w:val="14"/>
          <w:szCs w:val="14"/>
        </w:rPr>
        <w:t xml:space="preserve">2019 IEEE European Symposium on Security and Privacy (EuroS&amp;P)</w:t>
      </w:r>
      <w:r>
        <w:rPr>
          <w:rFonts w:ascii="Times New Roman" w:cs="Times New Roman" w:eastAsia="Times New Roman" w:hAnsi="Times New Roman"/>
          <w:sz w:val="14"/>
          <w:szCs w:val="14"/>
        </w:rPr>
        <w:t xml:space="preserve">. IEEE, 231–246. https://doi.org/10.1109/EuroSP.2019.00026</w:t>
      </w:r>
    </w:p>
    <w:p>
      <w:pPr>
        <w:tabs>
          <w:tab w:val="left" w:pos="320"/>
        </w:tabs>
        <w:spacing w:after="30" w:line="200"/>
        <w:ind w:left="320" w:hanging="320"/>
        <w:jc w:val="left"/>
      </w:pPr>
      <w:r>
        <w:rPr>
          <w:rFonts w:ascii="Times New Roman" w:cs="Times New Roman" w:eastAsia="Times New Roman" w:hAnsi="Times New Roman"/>
          <w:sz w:val="14"/>
          <w:szCs w:val="14"/>
        </w:rPr>
        <w:t xml:space="preserve">[11]	</w:t>
      </w:r>
      <w:r>
        <w:rPr>
          <w:rFonts w:ascii="Times New Roman" w:cs="Times New Roman" w:eastAsia="Times New Roman" w:hAnsi="Times New Roman"/>
          <w:sz w:val="14"/>
          <w:szCs w:val="14"/>
        </w:rPr>
        <w:t xml:space="preserve">Steven Mackey, Ivan Mihov, Alex Nosenko, Francisco Vega, and Yuan Cheng. 2020. A Performance Comparison of WireGuard and OpenVPN. In </w:t>
      </w:r>
      <w:r>
        <w:rPr>
          <w:rFonts w:ascii="Times New Roman" w:cs="Times New Roman" w:eastAsia="Times New Roman" w:hAnsi="Times New Roman"/>
          <w:i/>
          <w:iCs/>
          <w:sz w:val="14"/>
          <w:szCs w:val="14"/>
        </w:rPr>
        <w:t xml:space="preserve">Proceedings of the Tenth ACM Conference on Data and Application Security and Privacy (CODASPY ’20)</w:t>
      </w:r>
      <w:r>
        <w:rPr>
          <w:rFonts w:ascii="Times New Roman" w:cs="Times New Roman" w:eastAsia="Times New Roman" w:hAnsi="Times New Roman"/>
          <w:sz w:val="14"/>
          <w:szCs w:val="14"/>
        </w:rPr>
        <w:t xml:space="preserve">. ACM, 162–164. https://doi.org/10.1145/3374664.3379532</w:t>
      </w:r>
    </w:p>
    <w:p>
      <w:pPr>
        <w:tabs>
          <w:tab w:val="left" w:pos="320"/>
        </w:tabs>
        <w:spacing w:after="30" w:line="200"/>
        <w:ind w:left="320" w:hanging="320"/>
        <w:jc w:val="left"/>
      </w:pPr>
      <w:r>
        <w:rPr>
          <w:rFonts w:ascii="Times New Roman" w:cs="Times New Roman" w:eastAsia="Times New Roman" w:hAnsi="Times New Roman"/>
          <w:sz w:val="14"/>
          <w:szCs w:val="14"/>
        </w:rPr>
        <w:t xml:space="preserve">[12]	</w:t>
      </w:r>
      <w:r>
        <w:rPr>
          <w:rFonts w:ascii="Times New Roman" w:cs="Times New Roman" w:eastAsia="Times New Roman" w:hAnsi="Times New Roman"/>
          <w:sz w:val="14"/>
          <w:szCs w:val="14"/>
        </w:rPr>
        <w:t xml:space="preserve">Matthew Mathis, Jeffrey Semke, Jamshid Mahdavi, and Teunis Ott. 1997. The Macroscopic Behavior of the TCP Congestion Avoidance Algorithm. </w:t>
      </w:r>
      <w:r>
        <w:rPr>
          <w:rFonts w:ascii="Times New Roman" w:cs="Times New Roman" w:eastAsia="Times New Roman" w:hAnsi="Times New Roman"/>
          <w:i/>
          <w:iCs/>
          <w:sz w:val="14"/>
          <w:szCs w:val="14"/>
        </w:rPr>
        <w:t xml:space="preserve">ACM SIGCOMM Computer Communication Review</w:t>
      </w:r>
      <w:r>
        <w:rPr>
          <w:rFonts w:ascii="Times New Roman" w:cs="Times New Roman" w:eastAsia="Times New Roman" w:hAnsi="Times New Roman"/>
          <w:sz w:val="14"/>
          <w:szCs w:val="14"/>
        </w:rPr>
        <w:t xml:space="preserve"> 27, 3 (1997), 67–82. https://doi.org/10.1145/263932.264023</w:t>
      </w:r>
    </w:p>
    <w:p>
      <w:pPr>
        <w:tabs>
          <w:tab w:val="left" w:pos="320"/>
        </w:tabs>
        <w:spacing w:after="30" w:line="200"/>
        <w:ind w:left="320" w:hanging="320"/>
        <w:jc w:val="left"/>
      </w:pPr>
      <w:r>
        <w:rPr>
          <w:rFonts w:ascii="Times New Roman" w:cs="Times New Roman" w:eastAsia="Times New Roman" w:hAnsi="Times New Roman"/>
          <w:sz w:val="14"/>
          <w:szCs w:val="14"/>
        </w:rPr>
        <w:t xml:space="preserve">[13]	</w:t>
      </w:r>
      <w:r>
        <w:rPr>
          <w:rFonts w:ascii="Times New Roman" w:cs="Times New Roman" w:eastAsia="Times New Roman" w:hAnsi="Times New Roman"/>
          <w:sz w:val="14"/>
          <w:szCs w:val="14"/>
        </w:rPr>
        <w:t xml:space="preserve">Yoav Nir and Adam Langley. 2018. </w:t>
      </w:r>
      <w:r>
        <w:rPr>
          <w:rFonts w:ascii="Times New Roman" w:cs="Times New Roman" w:eastAsia="Times New Roman" w:hAnsi="Times New Roman"/>
          <w:i/>
          <w:iCs/>
          <w:sz w:val="14"/>
          <w:szCs w:val="14"/>
        </w:rPr>
        <w:t xml:space="preserve">ChaCha20 and Poly1305 for IETF Protocols</w:t>
      </w:r>
      <w:r>
        <w:rPr>
          <w:rFonts w:ascii="Times New Roman" w:cs="Times New Roman" w:eastAsia="Times New Roman" w:hAnsi="Times New Roman"/>
          <w:sz w:val="14"/>
          <w:szCs w:val="14"/>
        </w:rPr>
        <w:t xml:space="preserve">. RFC 8439. IETF. https://doi.org/10.17487/RFC8439</w:t>
      </w:r>
    </w:p>
    <w:p>
      <w:pPr>
        <w:tabs>
          <w:tab w:val="left" w:pos="320"/>
        </w:tabs>
        <w:spacing w:after="30" w:line="200"/>
        <w:ind w:left="320" w:hanging="320"/>
        <w:jc w:val="left"/>
      </w:pPr>
      <w:r>
        <w:rPr>
          <w:rFonts w:ascii="Times New Roman" w:cs="Times New Roman" w:eastAsia="Times New Roman" w:hAnsi="Times New Roman"/>
          <w:sz w:val="14"/>
          <w:szCs w:val="14"/>
        </w:rPr>
        <w:t xml:space="preserve">[14]	</w:t>
      </w:r>
      <w:r>
        <w:rPr>
          <w:rFonts w:ascii="Times New Roman" w:cs="Times New Roman" w:eastAsia="Times New Roman" w:hAnsi="Times New Roman"/>
          <w:sz w:val="14"/>
          <w:szCs w:val="14"/>
        </w:rPr>
        <w:t xml:space="preserve">Trevor Perrin. 2018. </w:t>
      </w:r>
      <w:r>
        <w:rPr>
          <w:rFonts w:ascii="Times New Roman" w:cs="Times New Roman" w:eastAsia="Times New Roman" w:hAnsi="Times New Roman"/>
          <w:i/>
          <w:iCs/>
          <w:sz w:val="14"/>
          <w:szCs w:val="14"/>
        </w:rPr>
        <w:t xml:space="preserve">The Noise Protocol Framework</w:t>
      </w:r>
      <w:r>
        <w:rPr>
          <w:rFonts w:ascii="Times New Roman" w:cs="Times New Roman" w:eastAsia="Times New Roman" w:hAnsi="Times New Roman"/>
          <w:sz w:val="14"/>
          <w:szCs w:val="14"/>
        </w:rPr>
        <w:t xml:space="preserve">, Revision 34. https://noiseprotocol.org/noise.html</w:t>
      </w:r>
    </w:p>
    <w:p>
      <w:pPr>
        <w:tabs>
          <w:tab w:val="left" w:pos="320"/>
        </w:tabs>
        <w:spacing w:after="30" w:line="200"/>
        <w:ind w:left="320" w:hanging="320"/>
        <w:jc w:val="left"/>
      </w:pPr>
      <w:r>
        <w:rPr>
          <w:rFonts w:ascii="Times New Roman" w:cs="Times New Roman" w:eastAsia="Times New Roman" w:hAnsi="Times New Roman"/>
          <w:sz w:val="14"/>
          <w:szCs w:val="14"/>
        </w:rPr>
        <w:t xml:space="preserve">[15]	</w:t>
      </w:r>
      <w:r>
        <w:rPr>
          <w:rFonts w:ascii="Times New Roman" w:cs="Times New Roman" w:eastAsia="Times New Roman" w:hAnsi="Times New Roman"/>
          <w:sz w:val="14"/>
          <w:szCs w:val="14"/>
        </w:rPr>
        <w:t xml:space="preserve">Maximilian Pudelko, Paul Emmerich, Sebastian Gallenmüller, and Georg Carle. 2020. Performance Analysis of VPN Gateways. In </w:t>
      </w:r>
      <w:r>
        <w:rPr>
          <w:rFonts w:ascii="Times New Roman" w:cs="Times New Roman" w:eastAsia="Times New Roman" w:hAnsi="Times New Roman"/>
          <w:i/>
          <w:iCs/>
          <w:sz w:val="14"/>
          <w:szCs w:val="14"/>
        </w:rPr>
        <w:t xml:space="preserve">2020 IFIP Networking Conference (Networking)</w:t>
      </w:r>
      <w:r>
        <w:rPr>
          <w:rFonts w:ascii="Times New Roman" w:cs="Times New Roman" w:eastAsia="Times New Roman" w:hAnsi="Times New Roman"/>
          <w:sz w:val="14"/>
          <w:szCs w:val="14"/>
        </w:rPr>
        <w:t xml:space="preserve">. IFIP, Paris, France. ISBN 978-3-903176-28-7</w:t>
      </w:r>
    </w:p>
    <w:p>
      <w:pPr>
        <w:tabs>
          <w:tab w:val="left" w:pos="320"/>
        </w:tabs>
        <w:spacing w:after="30" w:line="200"/>
        <w:ind w:left="320" w:hanging="320"/>
        <w:jc w:val="left"/>
      </w:pPr>
      <w:r>
        <w:rPr>
          <w:rFonts w:ascii="Times New Roman" w:cs="Times New Roman" w:eastAsia="Times New Roman" w:hAnsi="Times New Roman"/>
          <w:sz w:val="14"/>
          <w:szCs w:val="14"/>
        </w:rPr>
        <w:t xml:space="preserve">[16]	</w:t>
      </w:r>
      <w:r>
        <w:rPr>
          <w:rFonts w:ascii="Times New Roman" w:cs="Times New Roman" w:eastAsia="Times New Roman" w:hAnsi="Times New Roman"/>
          <w:sz w:val="14"/>
          <w:szCs w:val="14"/>
        </w:rPr>
        <w:t xml:space="preserve">Antonio Quartulli. 2022. Pushing OpenVPN down the Stack: Data Channel Offload (DCO). In </w:t>
      </w:r>
      <w:r>
        <w:rPr>
          <w:rFonts w:ascii="Times New Roman" w:cs="Times New Roman" w:eastAsia="Times New Roman" w:hAnsi="Times New Roman"/>
          <w:i/>
          <w:iCs/>
          <w:sz w:val="14"/>
          <w:szCs w:val="14"/>
        </w:rPr>
        <w:t xml:space="preserve">Netdev 0x16, The Technical Conference on Linux Networking</w:t>
      </w:r>
      <w:r>
        <w:rPr>
          <w:rFonts w:ascii="Times New Roman" w:cs="Times New Roman" w:eastAsia="Times New Roman" w:hAnsi="Times New Roman"/>
          <w:sz w:val="14"/>
          <w:szCs w:val="14"/>
        </w:rPr>
        <w:t xml:space="preserve">. Lisbon, Portugal. https://netdevconf.info/0x16/sessions/talk/pushing-openvpn-down-the-stack-data-channel-offload-dco.html</w:t>
      </w:r>
    </w:p>
    <w:p>
      <w:pPr>
        <w:tabs>
          <w:tab w:val="left" w:pos="320"/>
        </w:tabs>
        <w:spacing w:after="30" w:line="200"/>
        <w:ind w:left="320" w:hanging="320"/>
        <w:jc w:val="left"/>
      </w:pPr>
      <w:r>
        <w:rPr>
          <w:rFonts w:ascii="Times New Roman" w:cs="Times New Roman" w:eastAsia="Times New Roman" w:hAnsi="Times New Roman"/>
          <w:sz w:val="14"/>
          <w:szCs w:val="14"/>
        </w:rPr>
        <w:t xml:space="preserve">[17]	</w:t>
      </w:r>
      <w:r>
        <w:rPr>
          <w:rFonts w:ascii="Times New Roman" w:cs="Times New Roman" w:eastAsia="Times New Roman" w:hAnsi="Times New Roman"/>
          <w:sz w:val="14"/>
          <w:szCs w:val="14"/>
        </w:rPr>
        <w:t xml:space="preserve">Chris Rapier and Benjamin Bennett. 2008. High Speed Bulk Data Transfer Using the SSH Protocol. In </w:t>
      </w:r>
      <w:r>
        <w:rPr>
          <w:rFonts w:ascii="Times New Roman" w:cs="Times New Roman" w:eastAsia="Times New Roman" w:hAnsi="Times New Roman"/>
          <w:i/>
          <w:iCs/>
          <w:sz w:val="14"/>
          <w:szCs w:val="14"/>
        </w:rPr>
        <w:t xml:space="preserve">Proceedings of the 15th ACM Mardi Gras Conference (MG ’08)</w:t>
      </w:r>
      <w:r>
        <w:rPr>
          <w:rFonts w:ascii="Times New Roman" w:cs="Times New Roman" w:eastAsia="Times New Roman" w:hAnsi="Times New Roman"/>
          <w:sz w:val="14"/>
          <w:szCs w:val="14"/>
        </w:rPr>
        <w:t xml:space="preserve">. ACM, Article 11. https://doi.org/10.1145/1341811.1341824</w:t>
      </w:r>
    </w:p>
    <w:p>
      <w:pPr>
        <w:tabs>
          <w:tab w:val="left" w:pos="320"/>
        </w:tabs>
        <w:spacing w:after="30" w:line="200"/>
        <w:ind w:left="320" w:hanging="320"/>
        <w:jc w:val="left"/>
      </w:pPr>
      <w:r>
        <w:rPr>
          <w:rFonts w:ascii="Times New Roman" w:cs="Times New Roman" w:eastAsia="Times New Roman" w:hAnsi="Times New Roman"/>
          <w:sz w:val="14"/>
          <w:szCs w:val="14"/>
        </w:rPr>
        <w:t xml:space="preserve">[18]	</w:t>
      </w:r>
      <w:r>
        <w:rPr>
          <w:rFonts w:ascii="Times New Roman" w:cs="Times New Roman" w:eastAsia="Times New Roman" w:hAnsi="Times New Roman"/>
          <w:sz w:val="14"/>
          <w:szCs w:val="14"/>
        </w:rPr>
        <w:t xml:space="preserve">Eric Rescorla. 2018. </w:t>
      </w:r>
      <w:r>
        <w:rPr>
          <w:rFonts w:ascii="Times New Roman" w:cs="Times New Roman" w:eastAsia="Times New Roman" w:hAnsi="Times New Roman"/>
          <w:i/>
          <w:iCs/>
          <w:sz w:val="14"/>
          <w:szCs w:val="14"/>
        </w:rPr>
        <w:t xml:space="preserve">The Transport Layer Security (TLS) Protocol Version 1.3</w:t>
      </w:r>
      <w:r>
        <w:rPr>
          <w:rFonts w:ascii="Times New Roman" w:cs="Times New Roman" w:eastAsia="Times New Roman" w:hAnsi="Times New Roman"/>
          <w:sz w:val="14"/>
          <w:szCs w:val="14"/>
        </w:rPr>
        <w:t xml:space="preserve">. RFC 8446. IETF. https://doi.org/10.17487/RFC8446</w:t>
      </w:r>
    </w:p>
    <w:p>
      <w:pPr>
        <w:tabs>
          <w:tab w:val="left" w:pos="320"/>
        </w:tabs>
        <w:spacing w:after="30" w:line="200"/>
        <w:ind w:left="320" w:hanging="320"/>
        <w:jc w:val="left"/>
      </w:pPr>
      <w:r>
        <w:rPr>
          <w:rFonts w:ascii="Times New Roman" w:cs="Times New Roman" w:eastAsia="Times New Roman" w:hAnsi="Times New Roman"/>
          <w:sz w:val="14"/>
          <w:szCs w:val="14"/>
        </w:rPr>
        <w:t xml:space="preserve">[19]	</w:t>
      </w:r>
      <w:r>
        <w:rPr>
          <w:rFonts w:ascii="Times New Roman" w:cs="Times New Roman" w:eastAsia="Times New Roman" w:hAnsi="Times New Roman"/>
          <w:sz w:val="14"/>
          <w:szCs w:val="14"/>
        </w:rPr>
        <w:t xml:space="preserve">Olaf Titz. 2001. Why TCP Over TCP Is A Bad Idea. Retrieved October 26, 2026 from http://sites.inka.de/bigred/devel/tcp-tcp.html</w:t>
      </w:r>
    </w:p>
    <w:p>
      <w:pPr>
        <w:tabs>
          <w:tab w:val="left" w:pos="320"/>
        </w:tabs>
        <w:spacing w:after="30" w:line="200"/>
        <w:ind w:left="320" w:hanging="320"/>
        <w:jc w:val="left"/>
      </w:pPr>
      <w:r>
        <w:rPr>
          <w:rFonts w:ascii="Times New Roman" w:cs="Times New Roman" w:eastAsia="Times New Roman" w:hAnsi="Times New Roman"/>
          <w:sz w:val="14"/>
          <w:szCs w:val="14"/>
        </w:rPr>
        <w:t xml:space="preserve">[20]	</w:t>
      </w:r>
      <w:r>
        <w:rPr>
          <w:rFonts w:ascii="Times New Roman" w:cs="Times New Roman" w:eastAsia="Times New Roman" w:hAnsi="Times New Roman"/>
          <w:sz w:val="14"/>
          <w:szCs w:val="14"/>
        </w:rPr>
        <w:t xml:space="preserve">Diwen Xue, Reethika Ramesh, Arham Jain, Michalis Kallitsis, J. Alex Halderman, Jedidiah R. Crandall, and Roya Ensafi. 2022. OpenVPN is Open to VPN Fingerprinting. In </w:t>
      </w:r>
      <w:r>
        <w:rPr>
          <w:rFonts w:ascii="Times New Roman" w:cs="Times New Roman" w:eastAsia="Times New Roman" w:hAnsi="Times New Roman"/>
          <w:i/>
          <w:iCs/>
          <w:sz w:val="14"/>
          <w:szCs w:val="14"/>
        </w:rPr>
        <w:t xml:space="preserve">Proceedings of the 31st USENIX Security Symposium (USENIX Security ’22)</w:t>
      </w:r>
      <w:r>
        <w:rPr>
          <w:rFonts w:ascii="Times New Roman" w:cs="Times New Roman" w:eastAsia="Times New Roman" w:hAnsi="Times New Roman"/>
          <w:sz w:val="14"/>
          <w:szCs w:val="14"/>
        </w:rPr>
        <w:t xml:space="preserve">. USENIX Association, Boston, MA, USA. https://www.usenix.org/conference/usenixsecurity22/presentation/xue-diwen</w:t>
      </w:r>
    </w:p>
    <w:p>
      <w:pPr>
        <w:tabs>
          <w:tab w:val="left" w:pos="320"/>
        </w:tabs>
        <w:spacing w:after="30" w:line="200"/>
        <w:ind w:left="320" w:hanging="320"/>
        <w:jc w:val="left"/>
      </w:pPr>
      <w:r>
        <w:rPr>
          <w:rFonts w:ascii="Times New Roman" w:cs="Times New Roman" w:eastAsia="Times New Roman" w:hAnsi="Times New Roman"/>
          <w:sz w:val="14"/>
          <w:szCs w:val="14"/>
        </w:rPr>
        <w:t xml:space="preserve">[21]	</w:t>
      </w:r>
      <w:r>
        <w:rPr>
          <w:rFonts w:ascii="Times New Roman" w:cs="Times New Roman" w:eastAsia="Times New Roman" w:hAnsi="Times New Roman"/>
          <w:sz w:val="14"/>
          <w:szCs w:val="14"/>
        </w:rPr>
        <w:t xml:space="preserve">Tatu Ylonen and Chris Lonvick. 2006. </w:t>
      </w:r>
      <w:r>
        <w:rPr>
          <w:rFonts w:ascii="Times New Roman" w:cs="Times New Roman" w:eastAsia="Times New Roman" w:hAnsi="Times New Roman"/>
          <w:i/>
          <w:iCs/>
          <w:sz w:val="14"/>
          <w:szCs w:val="14"/>
        </w:rPr>
        <w:t xml:space="preserve">The Secure Shell (SSH) Transport Layer Protocol</w:t>
      </w:r>
      <w:r>
        <w:rPr>
          <w:rFonts w:ascii="Times New Roman" w:cs="Times New Roman" w:eastAsia="Times New Roman" w:hAnsi="Times New Roman"/>
          <w:sz w:val="14"/>
          <w:szCs w:val="14"/>
        </w:rPr>
        <w:t xml:space="preserve">. RFC 4253. IETF. https://doi.org/10.17487/RFC4253</w:t>
      </w:r>
    </w:p>
    <w:p>
      <w:pPr>
        <w:tabs>
          <w:tab w:val="left" w:pos="320"/>
        </w:tabs>
        <w:spacing w:after="30" w:line="200"/>
        <w:ind w:left="320" w:hanging="320"/>
        <w:jc w:val="left"/>
      </w:pPr>
      <w:r>
        <w:rPr>
          <w:rFonts w:ascii="Times New Roman" w:cs="Times New Roman" w:eastAsia="Times New Roman" w:hAnsi="Times New Roman"/>
          <w:sz w:val="14"/>
          <w:szCs w:val="14"/>
        </w:rPr>
        <w:t xml:space="preserve">[22]	</w:t>
      </w:r>
      <w:r>
        <w:rPr>
          <w:rFonts w:ascii="Times New Roman" w:cs="Times New Roman" w:eastAsia="Times New Roman" w:hAnsi="Times New Roman"/>
          <w:sz w:val="14"/>
          <w:szCs w:val="14"/>
        </w:rPr>
        <w:t xml:space="preserve">Tatu Ylonen and Chris Lonvick. 2006. </w:t>
      </w:r>
      <w:r>
        <w:rPr>
          <w:rFonts w:ascii="Times New Roman" w:cs="Times New Roman" w:eastAsia="Times New Roman" w:hAnsi="Times New Roman"/>
          <w:i/>
          <w:iCs/>
          <w:sz w:val="14"/>
          <w:szCs w:val="14"/>
        </w:rPr>
        <w:t xml:space="preserve">The Secure Shell (SSH) Connection Protocol</w:t>
      </w:r>
      <w:r>
        <w:rPr>
          <w:rFonts w:ascii="Times New Roman" w:cs="Times New Roman" w:eastAsia="Times New Roman" w:hAnsi="Times New Roman"/>
          <w:sz w:val="14"/>
          <w:szCs w:val="14"/>
        </w:rPr>
        <w:t xml:space="preserve">. RFC 4254. IETF. https://doi.org/10.17487/RFC4254</w:t>
      </w:r>
    </w:p>
    <w:p>
      <w:pPr>
        <w:tabs>
          <w:tab w:val="left" w:pos="320"/>
        </w:tabs>
        <w:spacing w:after="30" w:line="200"/>
        <w:ind w:left="320" w:hanging="320"/>
        <w:jc w:val="left"/>
      </w:pPr>
      <w:r>
        <w:rPr>
          <w:rFonts w:ascii="Times New Roman" w:cs="Times New Roman" w:eastAsia="Times New Roman" w:hAnsi="Times New Roman"/>
          <w:sz w:val="14"/>
          <w:szCs w:val="14"/>
        </w:rPr>
        <w:t xml:space="preserve">[23]	</w:t>
      </w:r>
      <w:r>
        <w:rPr>
          <w:rFonts w:ascii="Times New Roman" w:cs="Times New Roman" w:eastAsia="Times New Roman" w:hAnsi="Times New Roman"/>
          <w:sz w:val="14"/>
          <w:szCs w:val="14"/>
        </w:rPr>
        <w:t xml:space="preserve">ESnet. 2026. iperf3: A TCP, UDP, and SCTP Network Bandwidth Measurement Tool (version 3.22). Retrieved October 26, 2026 from https://github.com/esnet/iperf</w:t>
      </w:r>
    </w:p>
    <w:sectPr>
      <w:pgSz w:w="12240" w:h="15840" w:orient="portrait"/>
      <w:pgMar w:top="1080" w:right="1000" w:bottom="1080" w:left="1000" w:header="708" w:footer="708" w:gutter="0"/>
      <w:pgNumType/>
      <w:cols w:space="40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4"/>
        <w:szCs w:val="14"/>
      </w:rPr>
      <w:t xml:space="preserve">VPN vs. SSH Tunneling: Performance and Security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40" w:hanging="180"/>
      </w:pPr>
    </w:lvl>
    <w:lvl w:ilvl="1" w:tentative="1">
      <w:start w:val="1"/>
      <w:numFmt w:val="bullet"/>
      <w:lvlText w:val="–"/>
      <w:lvlJc w:val="left"/>
      <w:pPr>
        <w:ind w:left="480" w:hanging="180"/>
      </w:pPr>
    </w:lvl>
  </w:abstractNum>
  <w:abstractNum w:abstractNumId="3" w15:restartNumberingAfterBreak="0">
    <w:multiLevelType w:val="hybridMultilevel"/>
    <w:lvl w:ilvl="0" w:tentative="1">
      <w:start w:val="1"/>
      <w:numFmt w:val="decimal"/>
      <w:lvlText w:val="(%1)"/>
      <w:lvlJc w:val="left"/>
      <w:pPr>
        <w:ind w:left="280" w:hanging="220"/>
      </w:pPr>
    </w:lvl>
  </w:abstractNum>
  <w:abstractNum w:abstractNumId="4" w15:restartNumberingAfterBreak="0">
    <w:multiLevelType w:val="hybridMultilevel"/>
    <w:lvl w:ilvl="0" w:tentative="1">
      <w:start w:val="1"/>
      <w:numFmt w:val="decimal"/>
      <w:lvlText w:val="%1."/>
      <w:lvlJc w:val="left"/>
      <w:pPr>
        <w:ind w:left="280" w:hanging="220"/>
      </w:pPr>
    </w:lvl>
  </w:abstractNum>
  <w:abstractNum w:abstractNumId="5" w15:restartNumberingAfterBreak="0">
    <w:multiLevelType w:val="hybridMultilevel"/>
    <w:lvl w:ilvl="0" w:tentative="1">
      <w:start w:val="1"/>
      <w:numFmt w:val="decimal"/>
      <w:lvlText w:val="%1."/>
      <w:lvlJc w:val="left"/>
      <w:pPr>
        <w:ind w:left="280" w:hanging="220"/>
      </w:pPr>
    </w:lvl>
  </w:abstractNum>
  <w:abstractNum w:abstractNumId="6" w15:restartNumberingAfterBreak="0">
    <w:multiLevelType w:val="hybridMultilevel"/>
    <w:lvl w:ilvl="0" w:tentative="1">
      <w:start w:val="1"/>
      <w:numFmt w:val="decimal"/>
      <w:lvlText w:val="%1."/>
      <w:lvlJc w:val="left"/>
      <w:pPr>
        <w:ind w:left="280" w:hanging="220"/>
      </w:pPr>
    </w:lvl>
  </w:abstractNum>
  <w:abstractNum w:abstractNumId="7" w15:restartNumberingAfterBreak="0">
    <w:multiLevelType w:val="hybridMultilevel"/>
    <w:lvl w:ilvl="0" w:tentative="1">
      <w:start w:val="1"/>
      <w:numFmt w:val="decimal"/>
      <w:lvlText w:val="%1."/>
      <w:lvlJc w:val="left"/>
      <w:pPr>
        <w:ind w:left="280" w:hanging="220"/>
      </w:pPr>
    </w:lvl>
  </w:abstractNum>
  <w:abstractNum w:abstractNumId="8" w15:restartNumberingAfterBreak="0">
    <w:multiLevelType w:val="hybridMultilevel"/>
    <w:lvl w:ilvl="0" w:tentative="1">
      <w:start w:val="1"/>
      <w:numFmt w:val="decimal"/>
      <w:lvlText w:val="%1."/>
      <w:lvlJc w:val="left"/>
      <w:pPr>
        <w:ind w:left="280" w:hanging="220"/>
      </w:pPr>
    </w:lvl>
  </w:abstractNum>
  <w:abstractNum w:abstractNumId="9" w15:restartNumberingAfterBreak="0">
    <w:multiLevelType w:val="hybridMultilevel"/>
    <w:lvl w:ilvl="0" w:tentative="1">
      <w:start w:val="1"/>
      <w:numFmt w:val="lowerLetter"/>
      <w:lvlText w:val="(%1)"/>
      <w:lvlJc w:val="left"/>
      <w:pPr>
        <w:ind w:left="280" w:hanging="220"/>
      </w:pPr>
    </w:lvl>
  </w:abstractNum>
  <w:abstractNum w:abstractNumId="10" w15:restartNumberingAfterBreak="0">
    <w:multiLevelType w:val="hybridMultilevel"/>
    <w:lvl w:ilvl="0" w:tentative="1">
      <w:start w:val="1"/>
      <w:numFmt w:val="lowerLetter"/>
      <w:lvlText w:val="(%1)"/>
      <w:lvlJc w:val="left"/>
      <w:pPr>
        <w:ind w:left="280" w:hanging="22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8"/>
    <w:lvlOverride w:ilvl="0">
      <w:startOverride w:val="1"/>
    </w:lvlOverride>
  </w:num>
  <w:num w:numId="5">
    <w:abstractNumId w:val="5"/>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8"/>
        <w:szCs w:val="1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0"/>
      <w:szCs w:val="20"/>
    </w:rPr>
  </w:style>
  <w:style w:type="paragraph" w:styleId="Heading2">
    <w:name w:val="Heading 2"/>
    <w:basedOn w:val="Normal"/>
    <w:next w:val="Normal"/>
    <w:qFormat/>
    <w:pPr>
      <w:outlineLvl w:val="1"/>
    </w:pPr>
    <w:rPr>
      <w:rFonts w:ascii="Times New Roman" w:cs="Times New Roman" w:eastAsia="Times New Roman" w:hAnsi="Times New Roman"/>
      <w:b/>
      <w:bCs/>
      <w:sz w:val="19"/>
      <w:szCs w:val="1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afilcqbm1czn1aotpok8_" Type="http://schemas.openxmlformats.org/officeDocument/2006/relationships/hyperlink" Target="https://github.com/cybsecoff31/vpn-vs-ssh-tunnel-benchmark" TargetMode="External"/><Relationship Id="rId9" Type="http://schemas.openxmlformats.org/officeDocument/2006/relationships/image" Target="media/5e3e0a1a82d8d9f12ceedc362aa478c178119c7b.png"/><Relationship Id="rId10" Type="http://schemas.openxmlformats.org/officeDocument/2006/relationships/image" Target="media/e08af16caba46ce3aca7d74c6b44bb17a40fa1c7.png"/><Relationship Id="rId11" Type="http://schemas.openxmlformats.org/officeDocument/2006/relationships/image" Target="media/4da73f354f9dc634e4bb0e4424f9dfeab54d4a30.png"/><Relationship Id="rId12" Type="http://schemas.openxmlformats.org/officeDocument/2006/relationships/image" Target="media/9e2ef58ab2c7d3f21de2c8aed44fb0df490acc76.png"/><Relationship Id="rId13" Type="http://schemas.openxmlformats.org/officeDocument/2006/relationships/image" Target="media/fbf0c5a16231fb248c5f4aa1f9734919b42b7059.png"/><Relationship Id="rId14" Type="http://schemas.openxmlformats.org/officeDocument/2006/relationships/image" Target="media/ce8f2c32c0f9be639a1849fb74764e04a45aaacf.png"/><Relationship Id="rId15" Type="http://schemas.openxmlformats.org/officeDocument/2006/relationships/image" Target="media/b4711396f46296674c3af8bad71139355dbd826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c:title>
  <dc:creator>Hubert YAKPE TROLINDO</dc:creator>
  <dc:description>VPN vs SSH tunneling: performance and security</dc:description>
  <cp:lastModifiedBy>Un-named</cp:lastModifiedBy>
  <cp:revision>1</cp:revision>
  <dcterms:created xsi:type="dcterms:W3CDTF">2026-10-26T23:18:45.762Z</dcterms:created>
  <dcterms:modified xsi:type="dcterms:W3CDTF">2026-10-26T23:18:45.766Z</dcterms:modified>
</cp:coreProperties>
</file>

<file path=docProps/custom.xml><?xml version="1.0" encoding="utf-8"?>
<Properties xmlns="http://schemas.openxmlformats.org/officeDocument/2006/custom-properties" xmlns:vt="http://schemas.openxmlformats.org/officeDocument/2006/docPropsVTypes"/>
</file>