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客户服务响应时限规范</w:t>
      </w:r>
    </w:p>
    <w:p>
      <w:pPr>
        <w:pStyle w:val="Heading2"/>
      </w:pPr>
      <w:r>
        <w:t>1. 响应时限</w:t>
      </w:r>
    </w:p>
    <w:p>
      <w:r>
        <w:t>1.1 一线响应时限为 2 小时。</w:t>
      </w:r>
    </w:p>
    <w:p>
      <w:r>
        <w:t>1.2 二线响应时限为 8 小时。</w:t>
      </w:r>
    </w:p>
    <w:p>
      <w:r>
        <w:t>1.3 三线响应时限为 24 小时。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级别</w:t>
            </w:r>
          </w:p>
        </w:tc>
        <w:tc>
          <w:tcPr>
            <w:tcW w:type="dxa" w:w="4320"/>
          </w:tcPr>
          <w:p>
            <w:r>
              <w:t>时限（小时）</w:t>
            </w:r>
          </w:p>
        </w:tc>
      </w:tr>
      <w:tr>
        <w:tc>
          <w:tcPr>
            <w:tcW w:type="dxa" w:w="4320"/>
          </w:tcPr>
          <w:p>
            <w:r>
              <w:t>一线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二线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三线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2026-10-10T00:00:00+00:00</dcterms:created>
  <dcterms:modified xsi:type="dcterms:W3CDTF">2026-10-10T00:00:00+00:00</dcterms:modified>
  <cp:category/>
</cp:coreProperties>
</file>