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DataMind 规范语料 · 售后时效判定说明材料</w:t>
      </w:r>
    </w:p>
    <w:p>
      <w:r>
        <w:t>文档编号：DM-KF-2026-011</w:t>
      </w:r>
    </w:p>
    <w:p>
      <w:r>
        <w:t>文档名称：售后时效判定说明材料</w:t>
      </w:r>
    </w:p>
    <w:p>
      <w:r>
        <w:t>版本：2026.01</w:t>
      </w:r>
    </w:p>
    <w:p>
      <w:r>
        <w:t>适用范围：全渠道销售订单退款处理</w:t>
      </w:r>
    </w:p>
    <w:p>
      <w:r>
        <w:t>生效日期：2023-01-01T00:00:00+08:00</w:t>
      </w:r>
    </w:p>
    <w:p>
      <w:r>
        <w:t>失效日期：无</w:t>
      </w:r>
    </w:p>
    <w:p/>
    <w:p>
      <w:r>
        <w:t>第 1 条</w:t>
      </w:r>
    </w:p>
    <w:p>
      <w:r>
        <w:t>条款编号：DM-KF-2026-011-1.1</w:t>
      </w:r>
    </w:p>
    <w:p>
      <w:r>
        <w:t>条款标题：退款时效判定流程说明</w:t>
      </w:r>
    </w:p>
    <w:p>
      <w:r>
        <w:t>版次：DM-KF-2026-011</w:t>
      </w:r>
    </w:p>
    <w:p>
      <w:r>
        <w:t>生效日期：2023-01-01T00:00:00+08:00</w:t>
      </w:r>
    </w:p>
    <w:p>
      <w:r>
        <w:t>失效日期：无</w:t>
      </w:r>
    </w:p>
    <w:p>
      <w:r>
        <w:t>适用对象：全渠道</w:t>
      </w:r>
    </w:p>
    <w:p>
      <w:r>
        <w:t>条款原文：条款原文：本说明只解释退款时效的判定流程，不改变任何阈值；判定结果须与《DM-KF-2026-001》第六条一致，适用于线上、门店与 APP 渠道。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