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eWhammy Center Stability: Current Final Simulation Summary</w:t>
      </w:r>
    </w:p>
    <w:p>
      <w:pPr>
        <w:pStyle w:val="Subtitle"/>
      </w:pPr>
      <w:r>
        <w:t xml:space="preserve">Current design as of May 17, 2026. The earlier differentiator/integrator report has been preserved as </w:t>
      </w:r>
      <w:r>
        <w:rPr>
          <w:i/>
        </w:rPr>
        <w:t>ewhammy_diff_integrator_historical_simulation_summary.docx</w:t>
      </w:r>
      <w:r>
        <w:t xml:space="preserve"> for historical context.</w:t>
      </w:r>
    </w:p>
    <w:p>
      <w:pPr>
        <w:pStyle w:val="Heading1"/>
      </w:pPr>
      <w:r>
        <w:t>Executive Summary</w:t>
      </w:r>
    </w:p>
    <w:p>
      <w:r>
        <w:t>The current best design is no longer the older differentiator-plus-integrator cleanup topology. That document remains useful history, but the present simulation has converged on a windowed servo architecture with three key changes: a narrow musical window, a moving threshold center derived from a low-pass filtered version of OUT, and a startup reset that forces HOLD low while the circuit acquires center.</w:t>
      </w:r>
    </w:p>
    <w:p>
      <w:r>
        <w:t>The important result is that the window can stay narrow, about +/-94 mV at OUT, while still catching both upward and downward releases. That avoids the earlier temptation to widen the fixed window to roughly +/-192 mV, which worked electrically but was too broad musically.</w:t>
      </w:r>
    </w:p>
    <w:p>
      <w:pPr>
        <w:pStyle w:val="Heading1"/>
      </w:pPr>
      <w:r>
        <w:t>Historical Context</w:t>
      </w:r>
    </w:p>
    <w:p>
      <w:r>
        <w:t>The renamed historical document records the previous line of investigation: deadband behavior, high-pass bypasses, always-on correction, and finally a differentiator/integrator signal path with conditional bleed. The present design keeps the servo/HOLD idea and solves the release asymmetry with a moving window center instead of a wider fixed window.</w:t>
      </w:r>
    </w:p>
    <w:tbl>
      <w:tblPr>
        <w:tblStyle w:val="TableGrid"/>
        <w:tblW w:type="auto" w:w="0"/>
        <w:jc w:val="center"/>
        <w:tblLook w:firstColumn="1" w:firstRow="1" w:lastColumn="0" w:lastRow="0" w:noHBand="0" w:noVBand="1" w:val="04A0"/>
      </w:tblPr>
      <w:tblGrid>
        <w:gridCol w:w="4896"/>
        <w:gridCol w:w="4896"/>
      </w:tblGrid>
      <w:tr>
        <w:tc>
          <w:tcPr>
            <w:tcW w:type="dxa" w:w="4032"/>
            <w:vAlign w:val="center"/>
            <w:shd w:fill="E8EEF5"/>
          </w:tcPr>
          <w:p>
            <w:pPr>
              <w:spacing w:after="0"/>
            </w:pPr>
            <w:r/>
            <w:r>
              <w:rPr>
                <w:b/>
              </w:rPr>
              <w:t>Document</w:t>
            </w:r>
          </w:p>
        </w:tc>
        <w:tc>
          <w:tcPr>
            <w:tcW w:type="dxa" w:w="5616"/>
            <w:vAlign w:val="center"/>
            <w:shd w:fill="E8EEF5"/>
          </w:tcPr>
          <w:p>
            <w:pPr>
              <w:spacing w:after="0"/>
            </w:pPr>
            <w:r/>
            <w:r>
              <w:rPr>
                <w:b/>
              </w:rPr>
              <w:t>Role</w:t>
            </w:r>
          </w:p>
        </w:tc>
      </w:tr>
      <w:tr>
        <w:tc>
          <w:tcPr>
            <w:tcW w:type="dxa" w:w="4032"/>
            <w:vAlign w:val="center"/>
          </w:tcPr>
          <w:p>
            <w:pPr>
              <w:spacing w:after="0"/>
            </w:pPr>
            <w:r/>
            <w:r>
              <w:rPr>
                <w:b w:val="0"/>
              </w:rPr>
              <w:t>ewhammy_diff_integrator_historical_simulation_summary.docx</w:t>
            </w:r>
          </w:p>
        </w:tc>
        <w:tc>
          <w:tcPr>
            <w:tcW w:type="dxa" w:w="5616"/>
            <w:vAlign w:val="center"/>
          </w:tcPr>
          <w:p>
            <w:pPr>
              <w:spacing w:after="0"/>
            </w:pPr>
            <w:r/>
            <w:r>
              <w:rPr>
                <w:b w:val="0"/>
              </w:rPr>
              <w:t>Historical summary of the differentiator/integrator exploration and why it was attractive.</w:t>
            </w:r>
          </w:p>
        </w:tc>
      </w:tr>
      <w:tr>
        <w:tc>
          <w:tcPr>
            <w:tcW w:type="dxa" w:w="4032"/>
            <w:vAlign w:val="center"/>
          </w:tcPr>
          <w:p>
            <w:pPr>
              <w:spacing w:after="0"/>
            </w:pPr>
            <w:r/>
            <w:r>
              <w:rPr>
                <w:b w:val="0"/>
              </w:rPr>
              <w:t>ewhammy_final_simulation_summary.docx</w:t>
            </w:r>
          </w:p>
        </w:tc>
        <w:tc>
          <w:tcPr>
            <w:tcW w:type="dxa" w:w="5616"/>
            <w:vAlign w:val="center"/>
          </w:tcPr>
          <w:p>
            <w:pPr>
              <w:spacing w:after="0"/>
            </w:pPr>
            <w:r/>
            <w:r>
              <w:rPr>
                <w:b w:val="0"/>
              </w:rPr>
              <w:t>Current final summary for the moving-window servo design.</w:t>
            </w:r>
          </w:p>
        </w:tc>
      </w:tr>
    </w:tbl>
    <w:p>
      <w:pPr>
        <w:spacing w:after="40"/>
      </w:pPr>
    </w:p>
    <w:p>
      <w:pPr>
        <w:pStyle w:val="Heading1"/>
      </w:pPr>
      <w:r>
        <w:t>Problem That Drove The Latest Revision</w:t>
      </w:r>
    </w:p>
    <w:p>
      <w:r>
        <w:t>The raw Hall sensor model is symmetric in gesture size, but it includes spring-steel hysteresis at release. The natural center is 2.1750 V in the raw sensor domain. After an upward release the model returns to 2.1825 V; after a downward release it returns to 2.1675 V. That is only 15 mV of separation at the sensor, but the signal path gain makes it about 150 mV at OUT.</w:t>
      </w:r>
    </w:p>
    <w:p>
      <w:r>
        <w:t>A fixed +/-100 mV window therefore misses the downward release in the realistic sequence, especially because the upward release has not completely settled before the downward bend begins. Widening the fixed window catches it, but that makes the reset region too musically large.</w:t>
      </w:r>
    </w:p>
    <w:tbl>
      <w:tblPr>
        <w:tblStyle w:val="TableGrid"/>
        <w:tblW w:type="auto" w:w="0"/>
        <w:jc w:val="center"/>
        <w:tblLook w:firstColumn="1" w:firstRow="1" w:lastColumn="0" w:lastRow="0" w:noHBand="0" w:noVBand="1" w:val="04A0"/>
      </w:tblPr>
      <w:tblGrid>
        <w:gridCol w:w="3264"/>
        <w:gridCol w:w="3264"/>
        <w:gridCol w:w="3264"/>
      </w:tblGrid>
      <w:tr>
        <w:tc>
          <w:tcPr>
            <w:tcW w:type="dxa" w:w="3312"/>
            <w:vAlign w:val="center"/>
            <w:shd w:fill="E8EEF5"/>
          </w:tcPr>
          <w:p>
            <w:pPr>
              <w:spacing w:after="0"/>
            </w:pPr>
            <w:r/>
            <w:r>
              <w:rPr>
                <w:b/>
              </w:rPr>
              <w:t>Raw sensor condition</w:t>
            </w:r>
          </w:p>
        </w:tc>
        <w:tc>
          <w:tcPr>
            <w:tcW w:type="dxa" w:w="2016"/>
            <w:vAlign w:val="center"/>
            <w:shd w:fill="E8EEF5"/>
          </w:tcPr>
          <w:p>
            <w:pPr>
              <w:spacing w:after="0"/>
            </w:pPr>
            <w:r/>
            <w:r>
              <w:rPr>
                <w:b/>
              </w:rPr>
              <w:t>Sensor voltage</w:t>
            </w:r>
          </w:p>
        </w:tc>
        <w:tc>
          <w:tcPr>
            <w:tcW w:type="dxa" w:w="4320"/>
            <w:vAlign w:val="center"/>
            <w:shd w:fill="E8EEF5"/>
          </w:tcPr>
          <w:p>
            <w:pPr>
              <w:spacing w:after="0"/>
            </w:pPr>
            <w:r/>
            <w:r>
              <w:rPr>
                <w:b/>
              </w:rPr>
              <w:t>Effect at OUT</w:t>
            </w:r>
          </w:p>
        </w:tc>
      </w:tr>
      <w:tr>
        <w:tc>
          <w:tcPr>
            <w:tcW w:type="dxa" w:w="3312"/>
            <w:vAlign w:val="center"/>
          </w:tcPr>
          <w:p>
            <w:pPr>
              <w:spacing w:after="0"/>
            </w:pPr>
            <w:r/>
            <w:r>
              <w:rPr>
                <w:b w:val="0"/>
              </w:rPr>
              <w:t>Natural center</w:t>
            </w:r>
          </w:p>
        </w:tc>
        <w:tc>
          <w:tcPr>
            <w:tcW w:type="dxa" w:w="2016"/>
            <w:vAlign w:val="center"/>
          </w:tcPr>
          <w:p>
            <w:pPr>
              <w:spacing w:after="0"/>
            </w:pPr>
            <w:r/>
            <w:r>
              <w:rPr>
                <w:b w:val="0"/>
              </w:rPr>
              <w:t>2.1750 V</w:t>
            </w:r>
          </w:p>
        </w:tc>
        <w:tc>
          <w:tcPr>
            <w:tcW w:type="dxa" w:w="4320"/>
            <w:vAlign w:val="center"/>
          </w:tcPr>
          <w:p>
            <w:pPr>
              <w:spacing w:after="0"/>
            </w:pPr>
            <w:r/>
            <w:r>
              <w:rPr>
                <w:b w:val="0"/>
              </w:rPr>
              <w:t>Nominal 2.5 V center after servo correction</w:t>
            </w:r>
          </w:p>
        </w:tc>
      </w:tr>
      <w:tr>
        <w:tc>
          <w:tcPr>
            <w:tcW w:type="dxa" w:w="3312"/>
            <w:vAlign w:val="center"/>
          </w:tcPr>
          <w:p>
            <w:pPr>
              <w:spacing w:after="0"/>
            </w:pPr>
            <w:r/>
            <w:r>
              <w:rPr>
                <w:b w:val="0"/>
              </w:rPr>
              <w:t>After upward release</w:t>
            </w:r>
          </w:p>
        </w:tc>
        <w:tc>
          <w:tcPr>
            <w:tcW w:type="dxa" w:w="2016"/>
            <w:vAlign w:val="center"/>
          </w:tcPr>
          <w:p>
            <w:pPr>
              <w:spacing w:after="0"/>
            </w:pPr>
            <w:r/>
            <w:r>
              <w:rPr>
                <w:b w:val="0"/>
              </w:rPr>
              <w:t>2.1825 V</w:t>
            </w:r>
          </w:p>
        </w:tc>
        <w:tc>
          <w:tcPr>
            <w:tcW w:type="dxa" w:w="4320"/>
            <w:vAlign w:val="center"/>
          </w:tcPr>
          <w:p>
            <w:pPr>
              <w:spacing w:after="0"/>
            </w:pPr>
            <w:r/>
            <w:r>
              <w:rPr>
                <w:b w:val="0"/>
              </w:rPr>
              <w:t>+7.5 mV sensor bias, about +75 mV at OUT</w:t>
            </w:r>
          </w:p>
        </w:tc>
      </w:tr>
      <w:tr>
        <w:tc>
          <w:tcPr>
            <w:tcW w:type="dxa" w:w="3312"/>
            <w:vAlign w:val="center"/>
          </w:tcPr>
          <w:p>
            <w:pPr>
              <w:spacing w:after="0"/>
            </w:pPr>
            <w:r/>
            <w:r>
              <w:rPr>
                <w:b w:val="0"/>
              </w:rPr>
              <w:t>After downward release</w:t>
            </w:r>
          </w:p>
        </w:tc>
        <w:tc>
          <w:tcPr>
            <w:tcW w:type="dxa" w:w="2016"/>
            <w:vAlign w:val="center"/>
          </w:tcPr>
          <w:p>
            <w:pPr>
              <w:spacing w:after="0"/>
            </w:pPr>
            <w:r/>
            <w:r>
              <w:rPr>
                <w:b w:val="0"/>
              </w:rPr>
              <w:t>2.1675 V</w:t>
            </w:r>
          </w:p>
        </w:tc>
        <w:tc>
          <w:tcPr>
            <w:tcW w:type="dxa" w:w="4320"/>
            <w:vAlign w:val="center"/>
          </w:tcPr>
          <w:p>
            <w:pPr>
              <w:spacing w:after="0"/>
            </w:pPr>
            <w:r/>
            <w:r>
              <w:rPr>
                <w:b w:val="0"/>
              </w:rPr>
              <w:t>-7.5 mV sensor bias, about -75 mV at OUT</w:t>
            </w:r>
          </w:p>
        </w:tc>
      </w:tr>
      <w:tr>
        <w:tc>
          <w:tcPr>
            <w:tcW w:type="dxa" w:w="3312"/>
            <w:vAlign w:val="center"/>
          </w:tcPr>
          <w:p>
            <w:pPr>
              <w:spacing w:after="0"/>
            </w:pPr>
            <w:r/>
            <w:r>
              <w:rPr>
                <w:b w:val="0"/>
              </w:rPr>
              <w:t>Up/down release separation</w:t>
            </w:r>
          </w:p>
        </w:tc>
        <w:tc>
          <w:tcPr>
            <w:tcW w:type="dxa" w:w="2016"/>
            <w:vAlign w:val="center"/>
          </w:tcPr>
          <w:p>
            <w:pPr>
              <w:spacing w:after="0"/>
            </w:pPr>
            <w:r/>
            <w:r>
              <w:rPr>
                <w:b w:val="0"/>
              </w:rPr>
              <w:t>15 mV</w:t>
            </w:r>
          </w:p>
        </w:tc>
        <w:tc>
          <w:tcPr>
            <w:tcW w:type="dxa" w:w="4320"/>
            <w:vAlign w:val="center"/>
          </w:tcPr>
          <w:p>
            <w:pPr>
              <w:spacing w:after="0"/>
            </w:pPr>
            <w:r/>
            <w:r>
              <w:rPr>
                <w:b w:val="0"/>
              </w:rPr>
              <w:t>About 150 mV at OUT</w:t>
            </w:r>
          </w:p>
        </w:tc>
      </w:tr>
    </w:tbl>
    <w:p>
      <w:pPr>
        <w:spacing w:after="40"/>
      </w:pPr>
    </w:p>
    <w:p>
      <w:pPr>
        <w:pStyle w:val="Heading1"/>
      </w:pPr>
      <w:r>
        <w:t>Current Architecture</w:t>
      </w:r>
    </w:p>
    <w:p>
      <w:r>
        <w:t>The current circuit keeps a normal servo correction path, but uses HOLD to decide when the servo is allowed to track. HOLD is asserted outside the accepted center region and released inside it. The startup circuit deliberately forces HOLD low at power-up so the servo can acquire the correct center instead of being frozen in the wrong state.</w:t>
      </w:r>
    </w:p>
    <w:p>
      <w:r>
        <w:t>The center-window discriminator now uses a moving center. WH and WL are still separated by a narrow fixed width, but their midpoint follows a low-pass filtered version of OUT. Slow positive and negative return offsets are therefore tracked by the discriminator, while the actual reset window remains narrow enough to avoid fighting intentional one-semitone holds.</w:t>
      </w:r>
    </w:p>
    <w:tbl>
      <w:tblPr>
        <w:tblStyle w:val="TableGrid"/>
        <w:tblW w:type="auto" w:w="0"/>
        <w:jc w:val="center"/>
        <w:tblLook w:firstColumn="1" w:firstRow="1" w:lastColumn="0" w:lastRow="0" w:noHBand="0" w:noVBand="1" w:val="04A0"/>
      </w:tblPr>
      <w:tblGrid>
        <w:gridCol w:w="3264"/>
        <w:gridCol w:w="3264"/>
        <w:gridCol w:w="3264"/>
      </w:tblGrid>
      <w:tr>
        <w:tc>
          <w:tcPr>
            <w:tcW w:type="dxa" w:w="2232"/>
            <w:vAlign w:val="center"/>
            <w:shd w:fill="E8EEF5"/>
          </w:tcPr>
          <w:p>
            <w:pPr>
              <w:spacing w:after="0"/>
            </w:pPr>
            <w:r/>
            <w:r>
              <w:rPr>
                <w:b/>
              </w:rPr>
              <w:t>Block</w:t>
            </w:r>
          </w:p>
        </w:tc>
        <w:tc>
          <w:tcPr>
            <w:tcW w:type="dxa" w:w="2808"/>
            <w:vAlign w:val="center"/>
            <w:shd w:fill="E8EEF5"/>
          </w:tcPr>
          <w:p>
            <w:pPr>
              <w:spacing w:after="0"/>
            </w:pPr>
            <w:r/>
            <w:r>
              <w:rPr>
                <w:b/>
              </w:rPr>
              <w:t>Current value / behavior</w:t>
            </w:r>
          </w:p>
        </w:tc>
        <w:tc>
          <w:tcPr>
            <w:tcW w:type="dxa" w:w="4608"/>
            <w:vAlign w:val="center"/>
            <w:shd w:fill="E8EEF5"/>
          </w:tcPr>
          <w:p>
            <w:pPr>
              <w:spacing w:after="0"/>
            </w:pPr>
            <w:r/>
            <w:r>
              <w:rPr>
                <w:b/>
              </w:rPr>
              <w:t>Purpose</w:t>
            </w:r>
          </w:p>
        </w:tc>
      </w:tr>
      <w:tr>
        <w:tc>
          <w:tcPr>
            <w:tcW w:type="dxa" w:w="2232"/>
            <w:vAlign w:val="center"/>
          </w:tcPr>
          <w:p>
            <w:pPr>
              <w:spacing w:after="0"/>
            </w:pPr>
            <w:r/>
            <w:r>
              <w:rPr>
                <w:b w:val="0"/>
              </w:rPr>
              <w:t>Servo input weighting</w:t>
            </w:r>
          </w:p>
        </w:tc>
        <w:tc>
          <w:tcPr>
            <w:tcW w:type="dxa" w:w="2808"/>
            <w:vAlign w:val="center"/>
          </w:tcPr>
          <w:p>
            <w:pPr>
              <w:spacing w:after="0"/>
            </w:pPr>
            <w:r/>
            <w:r>
              <w:rPr>
                <w:b w:val="0"/>
              </w:rPr>
              <w:t>R1 = 47k, R2 = 47k</w:t>
            </w:r>
          </w:p>
        </w:tc>
        <w:tc>
          <w:tcPr>
            <w:tcW w:type="dxa" w:w="4608"/>
            <w:vAlign w:val="center"/>
          </w:tcPr>
          <w:p>
            <w:pPr>
              <w:spacing w:after="0"/>
            </w:pPr>
            <w:r/>
            <w:r>
              <w:rPr>
                <w:b w:val="0"/>
              </w:rPr>
              <w:t>Combines SENSOR and OFFS into the servo-controlled signal path.</w:t>
            </w:r>
          </w:p>
        </w:tc>
      </w:tr>
      <w:tr>
        <w:tc>
          <w:tcPr>
            <w:tcW w:type="dxa" w:w="2232"/>
            <w:vAlign w:val="center"/>
          </w:tcPr>
          <w:p>
            <w:pPr>
              <w:spacing w:after="0"/>
            </w:pPr>
            <w:r/>
            <w:r>
              <w:rPr>
                <w:b w:val="0"/>
              </w:rPr>
              <w:t>Output gain/reference network</w:t>
            </w:r>
          </w:p>
        </w:tc>
        <w:tc>
          <w:tcPr>
            <w:tcW w:type="dxa" w:w="2808"/>
            <w:vAlign w:val="center"/>
          </w:tcPr>
          <w:p>
            <w:pPr>
              <w:spacing w:after="0"/>
            </w:pPr>
            <w:r/>
            <w:r>
              <w:rPr>
                <w:b w:val="0"/>
              </w:rPr>
              <w:t>R3 = 190k, R4 = 10k</w:t>
            </w:r>
          </w:p>
        </w:tc>
        <w:tc>
          <w:tcPr>
            <w:tcW w:type="dxa" w:w="4608"/>
            <w:vAlign w:val="center"/>
          </w:tcPr>
          <w:p>
            <w:pPr>
              <w:spacing w:after="0"/>
            </w:pPr>
            <w:r/>
            <w:r>
              <w:rPr>
                <w:b w:val="0"/>
              </w:rPr>
              <w:t>Implements the high gain around VREF used by the OUT stage.</w:t>
            </w:r>
          </w:p>
        </w:tc>
      </w:tr>
      <w:tr>
        <w:tc>
          <w:tcPr>
            <w:tcW w:type="dxa" w:w="2232"/>
            <w:vAlign w:val="center"/>
          </w:tcPr>
          <w:p>
            <w:pPr>
              <w:spacing w:after="0"/>
            </w:pPr>
            <w:r/>
            <w:r>
              <w:rPr>
                <w:b w:val="0"/>
              </w:rPr>
              <w:t>Integrator</w:t>
            </w:r>
          </w:p>
        </w:tc>
        <w:tc>
          <w:tcPr>
            <w:tcW w:type="dxa" w:w="2808"/>
            <w:vAlign w:val="center"/>
          </w:tcPr>
          <w:p>
            <w:pPr>
              <w:spacing w:after="0"/>
            </w:pPr>
            <w:r/>
            <w:r>
              <w:rPr>
                <w:b w:val="0"/>
              </w:rPr>
              <w:t>R9 = 100k, C1 = 10uF</w:t>
            </w:r>
          </w:p>
        </w:tc>
        <w:tc>
          <w:tcPr>
            <w:tcW w:type="dxa" w:w="4608"/>
            <w:vAlign w:val="center"/>
          </w:tcPr>
          <w:p>
            <w:pPr>
              <w:spacing w:after="0"/>
            </w:pPr>
            <w:r/>
            <w:r>
              <w:rPr>
                <w:b w:val="0"/>
              </w:rPr>
              <w:t>Stores the servo correction OFFS. The leak path was removed for the current simulation.</w:t>
            </w:r>
          </w:p>
        </w:tc>
      </w:tr>
      <w:tr>
        <w:tc>
          <w:tcPr>
            <w:tcW w:type="dxa" w:w="2232"/>
            <w:vAlign w:val="center"/>
          </w:tcPr>
          <w:p>
            <w:pPr>
              <w:spacing w:after="0"/>
            </w:pPr>
            <w:r/>
            <w:r>
              <w:rPr>
                <w:b w:val="0"/>
              </w:rPr>
              <w:t>Window base divider</w:t>
            </w:r>
          </w:p>
        </w:tc>
        <w:tc>
          <w:tcPr>
            <w:tcW w:type="dxa" w:w="2808"/>
            <w:vAlign w:val="center"/>
          </w:tcPr>
          <w:p>
            <w:pPr>
              <w:spacing w:after="0"/>
            </w:pPr>
            <w:r/>
            <w:r>
              <w:rPr>
                <w:b w:val="0"/>
              </w:rPr>
              <w:t>R5 = 120k, R7 = 10k, R8 = 120k</w:t>
            </w:r>
          </w:p>
        </w:tc>
        <w:tc>
          <w:tcPr>
            <w:tcW w:type="dxa" w:w="4608"/>
            <w:vAlign w:val="center"/>
          </w:tcPr>
          <w:p>
            <w:pPr>
              <w:spacing w:after="0"/>
            </w:pPr>
            <w:r/>
            <w:r>
              <w:rPr>
                <w:b w:val="0"/>
              </w:rPr>
              <w:t>Defines the narrow window width around the moving center.</w:t>
            </w:r>
          </w:p>
        </w:tc>
      </w:tr>
      <w:tr>
        <w:tc>
          <w:tcPr>
            <w:tcW w:type="dxa" w:w="2232"/>
            <w:vAlign w:val="center"/>
          </w:tcPr>
          <w:p>
            <w:pPr>
              <w:spacing w:after="0"/>
            </w:pPr>
            <w:r/>
            <w:r>
              <w:rPr>
                <w:b w:val="0"/>
              </w:rPr>
              <w:t>Moving-center injection</w:t>
            </w:r>
          </w:p>
        </w:tc>
        <w:tc>
          <w:tcPr>
            <w:tcW w:type="dxa" w:w="2808"/>
            <w:vAlign w:val="center"/>
          </w:tcPr>
          <w:p>
            <w:pPr>
              <w:spacing w:after="0"/>
            </w:pPr>
            <w:r/>
            <w:r>
              <w:rPr>
                <w:b w:val="0"/>
              </w:rPr>
              <w:t>R6 = 4.7k, R15 = 4.7k, R16 = 250k, C4 = 2.2uF</w:t>
            </w:r>
          </w:p>
        </w:tc>
        <w:tc>
          <w:tcPr>
            <w:tcW w:type="dxa" w:w="4608"/>
            <w:vAlign w:val="center"/>
          </w:tcPr>
          <w:p>
            <w:pPr>
              <w:spacing w:after="0"/>
            </w:pPr>
            <w:r/>
            <w:r>
              <w:rPr>
                <w:b w:val="0"/>
              </w:rPr>
              <w:t>Low-pass filters OUT and shifts WH/WL together without substantially changing window width.</w:t>
            </w:r>
          </w:p>
        </w:tc>
      </w:tr>
      <w:tr>
        <w:tc>
          <w:tcPr>
            <w:tcW w:type="dxa" w:w="2232"/>
            <w:vAlign w:val="center"/>
          </w:tcPr>
          <w:p>
            <w:pPr>
              <w:spacing w:after="0"/>
            </w:pPr>
            <w:r/>
            <w:r>
              <w:rPr>
                <w:b w:val="0"/>
              </w:rPr>
              <w:t>Startup reset</w:t>
            </w:r>
          </w:p>
        </w:tc>
        <w:tc>
          <w:tcPr>
            <w:tcW w:type="dxa" w:w="2808"/>
            <w:vAlign w:val="center"/>
          </w:tcPr>
          <w:p>
            <w:pPr>
              <w:spacing w:after="0"/>
            </w:pPr>
            <w:r/>
            <w:r>
              <w:rPr>
                <w:b w:val="0"/>
              </w:rPr>
              <w:t>U7 open-drain inverter, C2 = 2.2uF, R12 = 1M</w:t>
            </w:r>
          </w:p>
        </w:tc>
        <w:tc>
          <w:tcPr>
            <w:tcW w:type="dxa" w:w="4608"/>
            <w:vAlign w:val="center"/>
          </w:tcPr>
          <w:p>
            <w:pPr>
              <w:spacing w:after="0"/>
            </w:pPr>
            <w:r/>
            <w:r>
              <w:rPr>
                <w:b w:val="0"/>
              </w:rPr>
              <w:t>Forces HOLD low at startup for roughly 1.5 s, allowing initial acquisition.</w:t>
            </w:r>
          </w:p>
        </w:tc>
      </w:tr>
      <w:tr>
        <w:tc>
          <w:tcPr>
            <w:tcW w:type="dxa" w:w="2232"/>
            <w:vAlign w:val="center"/>
          </w:tcPr>
          <w:p>
            <w:pPr>
              <w:spacing w:after="0"/>
            </w:pPr>
            <w:r/>
            <w:r>
              <w:rPr>
                <w:b w:val="0"/>
              </w:rPr>
              <w:t>HOLD logic</w:t>
            </w:r>
          </w:p>
        </w:tc>
        <w:tc>
          <w:tcPr>
            <w:tcW w:type="dxa" w:w="2808"/>
            <w:vAlign w:val="center"/>
          </w:tcPr>
          <w:p>
            <w:pPr>
              <w:spacing w:after="0"/>
            </w:pPr>
            <w:r/>
            <w:r>
              <w:rPr>
                <w:b w:val="0"/>
              </w:rPr>
              <w:t>Open-drain inverter stages and ADG779 switch</w:t>
            </w:r>
          </w:p>
        </w:tc>
        <w:tc>
          <w:tcPr>
            <w:tcW w:type="dxa" w:w="4608"/>
            <w:vAlign w:val="center"/>
          </w:tcPr>
          <w:p>
            <w:pPr>
              <w:spacing w:after="0"/>
            </w:pPr>
            <w:r/>
            <w:r>
              <w:rPr>
                <w:b w:val="0"/>
              </w:rPr>
              <w:t>Holds or releases the servo path based on the window state. TOUCH is no longer needed.</w:t>
            </w:r>
          </w:p>
        </w:tc>
      </w:tr>
    </w:tbl>
    <w:p>
      <w:pPr>
        <w:spacing w:after="40"/>
      </w:pPr>
    </w:p>
    <w:p>
      <w:pPr>
        <w:pStyle w:val="Heading1"/>
      </w:pPr>
      <w:r>
        <w:t>Why The Moving Window Is Different From A Wider Window</w:t>
      </w:r>
    </w:p>
    <w:p>
      <w:r>
        <w:t>A fixed wide window solved the symptom by accepting a larger center error. With a 20k center resistor the fixed window was about +/-192 mV, or about +/-1.85 semitones. That caught the release, but risked fighting a player who intentionally holds near one semitone above or below center.</w:t>
      </w:r>
    </w:p>
    <w:p>
      <w:r>
        <w:t>The moving-window version keeps the half-width near +/-94.2 mV, about +/-0.90 semitones. The midpoint moves slowly with OUT, so release offsets are captured without making the reset aperture permanently broad.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76"/>
            <w:vAlign w:val="center"/>
            <w:shd w:fill="E8EEF5"/>
          </w:tcPr>
          <w:p>
            <w:pPr>
              <w:spacing w:after="0"/>
            </w:pPr>
            <w:r/>
            <w:r>
              <w:rPr>
                <w:b/>
              </w:rPr>
              <w:t>Window scheme</w:t>
            </w:r>
          </w:p>
        </w:tc>
        <w:tc>
          <w:tcPr>
            <w:tcW w:type="dxa" w:w="1872"/>
            <w:vAlign w:val="center"/>
            <w:shd w:fill="E8EEF5"/>
          </w:tcPr>
          <w:p>
            <w:pPr>
              <w:spacing w:after="0"/>
            </w:pPr>
            <w:r/>
            <w:r>
              <w:rPr>
                <w:b/>
              </w:rPr>
              <w:t>Half-width at OUT</w:t>
            </w:r>
          </w:p>
        </w:tc>
        <w:tc>
          <w:tcPr>
            <w:tcW w:type="dxa" w:w="1800"/>
            <w:vAlign w:val="center"/>
            <w:shd w:fill="E8EEF5"/>
          </w:tcPr>
          <w:p>
            <w:pPr>
              <w:spacing w:after="0"/>
            </w:pPr>
            <w:r/>
            <w:r>
              <w:rPr>
                <w:b/>
              </w:rPr>
              <w:t>Approx. semitones</w:t>
            </w:r>
          </w:p>
        </w:tc>
        <w:tc>
          <w:tcPr>
            <w:tcW w:type="dxa" w:w="3600"/>
            <w:vAlign w:val="center"/>
            <w:shd w:fill="E8EEF5"/>
          </w:tcPr>
          <w:p>
            <w:pPr>
              <w:spacing w:after="0"/>
            </w:pPr>
            <w:r/>
            <w:r>
              <w:rPr>
                <w:b/>
              </w:rPr>
              <w:t>Result</w:t>
            </w:r>
          </w:p>
        </w:tc>
      </w:tr>
      <w:tr>
        <w:tc>
          <w:tcPr>
            <w:tcW w:type="dxa" w:w="2376"/>
            <w:vAlign w:val="center"/>
          </w:tcPr>
          <w:p>
            <w:pPr>
              <w:spacing w:after="0"/>
            </w:pPr>
            <w:r/>
            <w:r>
              <w:rPr>
                <w:b w:val="0"/>
              </w:rPr>
              <w:t>Fixed narrow window</w:t>
            </w:r>
          </w:p>
        </w:tc>
        <w:tc>
          <w:tcPr>
            <w:tcW w:type="dxa" w:w="1872"/>
            <w:vAlign w:val="center"/>
          </w:tcPr>
          <w:p>
            <w:pPr>
              <w:spacing w:after="0"/>
            </w:pPr>
            <w:r/>
            <w:r>
              <w:rPr>
                <w:b w:val="0"/>
              </w:rPr>
              <w:t>+/-100 mV class</w:t>
            </w:r>
          </w:p>
        </w:tc>
        <w:tc>
          <w:tcPr>
            <w:tcW w:type="dxa" w:w="1800"/>
            <w:vAlign w:val="center"/>
          </w:tcPr>
          <w:p>
            <w:pPr>
              <w:spacing w:after="0"/>
            </w:pPr>
            <w:r/>
            <w:r>
              <w:rPr>
                <w:b w:val="0"/>
              </w:rPr>
              <w:t>About +/-0.96</w:t>
            </w:r>
          </w:p>
        </w:tc>
        <w:tc>
          <w:tcPr>
            <w:tcW w:type="dxa" w:w="3600"/>
            <w:vAlign w:val="center"/>
          </w:tcPr>
          <w:p>
            <w:pPr>
              <w:spacing w:after="0"/>
            </w:pPr>
            <w:r/>
            <w:r>
              <w:rPr>
                <w:b w:val="0"/>
              </w:rPr>
              <w:t>Musically right, but missed the downward release.</w:t>
            </w:r>
          </w:p>
        </w:tc>
      </w:tr>
      <w:tr>
        <w:tc>
          <w:tcPr>
            <w:tcW w:type="dxa" w:w="2376"/>
            <w:vAlign w:val="center"/>
          </w:tcPr>
          <w:p>
            <w:pPr>
              <w:spacing w:after="0"/>
            </w:pPr>
            <w:r/>
            <w:r>
              <w:rPr>
                <w:b w:val="0"/>
              </w:rPr>
              <w:t>Fixed wide window</w:t>
            </w:r>
          </w:p>
        </w:tc>
        <w:tc>
          <w:tcPr>
            <w:tcW w:type="dxa" w:w="1872"/>
            <w:vAlign w:val="center"/>
          </w:tcPr>
          <w:p>
            <w:pPr>
              <w:spacing w:after="0"/>
            </w:pPr>
            <w:r/>
            <w:r>
              <w:rPr>
                <w:b w:val="0"/>
              </w:rPr>
              <w:t>+/-192.3 mV</w:t>
            </w:r>
          </w:p>
        </w:tc>
        <w:tc>
          <w:tcPr>
            <w:tcW w:type="dxa" w:w="1800"/>
            <w:vAlign w:val="center"/>
          </w:tcPr>
          <w:p>
            <w:pPr>
              <w:spacing w:after="0"/>
            </w:pPr>
            <w:r/>
            <w:r>
              <w:rPr>
                <w:b w:val="0"/>
              </w:rPr>
              <w:t>About +/-1.85</w:t>
            </w:r>
          </w:p>
        </w:tc>
        <w:tc>
          <w:tcPr>
            <w:tcW w:type="dxa" w:w="3600"/>
            <w:vAlign w:val="center"/>
          </w:tcPr>
          <w:p>
            <w:pPr>
              <w:spacing w:after="0"/>
            </w:pPr>
            <w:r/>
            <w:r>
              <w:rPr>
                <w:b w:val="0"/>
              </w:rPr>
              <w:t>Caught the release, but too wide for the desired feel.</w:t>
            </w:r>
          </w:p>
        </w:tc>
      </w:tr>
      <w:tr>
        <w:tc>
          <w:tcPr>
            <w:tcW w:type="dxa" w:w="2376"/>
            <w:vAlign w:val="center"/>
          </w:tcPr>
          <w:p>
            <w:pPr>
              <w:spacing w:after="0"/>
            </w:pPr>
            <w:r/>
            <w:r>
              <w:rPr>
                <w:b w:val="0"/>
              </w:rPr>
              <w:t>Current moving window</w:t>
            </w:r>
          </w:p>
        </w:tc>
        <w:tc>
          <w:tcPr>
            <w:tcW w:type="dxa" w:w="1872"/>
            <w:vAlign w:val="center"/>
          </w:tcPr>
          <w:p>
            <w:pPr>
              <w:spacing w:after="0"/>
            </w:pPr>
            <w:r/>
            <w:r>
              <w:rPr>
                <w:b w:val="0"/>
              </w:rPr>
              <w:t>+/-94.2 mV</w:t>
            </w:r>
          </w:p>
        </w:tc>
        <w:tc>
          <w:tcPr>
            <w:tcW w:type="dxa" w:w="1800"/>
            <w:vAlign w:val="center"/>
          </w:tcPr>
          <w:p>
            <w:pPr>
              <w:spacing w:after="0"/>
            </w:pPr>
            <w:r/>
            <w:r>
              <w:rPr>
                <w:b w:val="0"/>
              </w:rPr>
              <w:t>About +/-0.90</w:t>
            </w:r>
          </w:p>
        </w:tc>
        <w:tc>
          <w:tcPr>
            <w:tcW w:type="dxa" w:w="3600"/>
            <w:vAlign w:val="center"/>
          </w:tcPr>
          <w:p>
            <w:pPr>
              <w:spacing w:after="0"/>
            </w:pPr>
            <w:r/>
            <w:r>
              <w:rPr>
                <w:b w:val="0"/>
              </w:rPr>
              <w:t>Catches release while keeping the reset aperture narrow.</w:t>
            </w:r>
          </w:p>
        </w:tc>
      </w:tr>
    </w:tbl>
    <w:p>
      <w:pPr>
        <w:spacing w:after="40"/>
      </w:pPr>
    </w:p>
    <w:p>
      <w:pPr>
        <w:pStyle w:val="Heading1"/>
      </w:pPr>
      <w:r>
        <w:t>Latest Simulation Evidence</w:t>
      </w:r>
    </w:p>
    <w:p>
      <w:r>
        <w:t>The latest CSV used here is plot10.csv. It includes WH, WL, HOLD, and OUT for the current design with startup reset and no TOUCH signal. The threshold half-width remains essentially constant: min 94.225 mV, max 94.230 mV, mean 94.226 mV. The threshold center moves from about 2.138 V to 2.857 V over the full test, which is the intended behavior.</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3384"/>
            <w:vAlign w:val="center"/>
            <w:shd w:fill="E8EEF5"/>
          </w:tcPr>
          <w:p>
            <w:pPr>
              <w:spacing w:after="0"/>
            </w:pPr>
            <w:r/>
            <w:r>
              <w:rPr>
                <w:b/>
              </w:rPr>
              <w:t>Event</w:t>
            </w:r>
          </w:p>
        </w:tc>
        <w:tc>
          <w:tcPr>
            <w:tcW w:type="dxa" w:w="1152"/>
            <w:vAlign w:val="center"/>
            <w:shd w:fill="E8EEF5"/>
          </w:tcPr>
          <w:p>
            <w:pPr>
              <w:spacing w:after="0"/>
            </w:pPr>
            <w:r/>
            <w:r>
              <w:rPr>
                <w:b/>
              </w:rPr>
              <w:t>Time</w:t>
            </w:r>
          </w:p>
        </w:tc>
        <w:tc>
          <w:tcPr>
            <w:tcW w:type="dxa" w:w="1080"/>
            <w:vAlign w:val="center"/>
            <w:shd w:fill="E8EEF5"/>
          </w:tcPr>
          <w:p>
            <w:pPr>
              <w:spacing w:after="0"/>
            </w:pPr>
            <w:r/>
            <w:r>
              <w:rPr>
                <w:b/>
              </w:rPr>
              <w:t>OUT</w:t>
            </w:r>
          </w:p>
        </w:tc>
        <w:tc>
          <w:tcPr>
            <w:tcW w:type="dxa" w:w="2232"/>
            <w:vAlign w:val="center"/>
            <w:shd w:fill="E8EEF5"/>
          </w:tcPr>
          <w:p>
            <w:pPr>
              <w:spacing w:after="0"/>
            </w:pPr>
            <w:r/>
            <w:r>
              <w:rPr>
                <w:b/>
              </w:rPr>
              <w:t>Window</w:t>
            </w:r>
          </w:p>
        </w:tc>
        <w:tc>
          <w:tcPr>
            <w:tcW w:type="dxa" w:w="936"/>
            <w:vAlign w:val="center"/>
            <w:shd w:fill="E8EEF5"/>
          </w:tcPr>
          <w:p>
            <w:pPr>
              <w:spacing w:after="0"/>
            </w:pPr>
            <w:r/>
            <w:r>
              <w:rPr>
                <w:b/>
              </w:rPr>
              <w:t>HOLD</w:t>
            </w:r>
          </w:p>
        </w:tc>
        <w:tc>
          <w:tcPr>
            <w:tcW w:type="dxa" w:w="1008"/>
            <w:vAlign w:val="center"/>
            <w:shd w:fill="E8EEF5"/>
          </w:tcPr>
          <w:p>
            <w:pPr>
              <w:spacing w:after="0"/>
            </w:pPr>
            <w:r/>
            <w:r>
              <w:rPr>
                <w:b/>
              </w:rPr>
              <w:t>Result</w:t>
            </w:r>
          </w:p>
        </w:tc>
      </w:tr>
      <w:tr>
        <w:tc>
          <w:tcPr>
            <w:tcW w:type="dxa" w:w="3384"/>
            <w:vAlign w:val="center"/>
          </w:tcPr>
          <w:p>
            <w:pPr>
              <w:spacing w:after="0"/>
            </w:pPr>
            <w:r/>
            <w:r>
              <w:rPr>
                <w:b w:val="0"/>
              </w:rPr>
              <w:t>Startup reset, before acquisition</w:t>
            </w:r>
          </w:p>
        </w:tc>
        <w:tc>
          <w:tcPr>
            <w:tcW w:type="dxa" w:w="1152"/>
            <w:vAlign w:val="center"/>
          </w:tcPr>
          <w:p>
            <w:pPr>
              <w:spacing w:after="0"/>
            </w:pPr>
            <w:r/>
            <w:r>
              <w:rPr>
                <w:b w:val="0"/>
              </w:rPr>
              <w:t>0.4992 s</w:t>
            </w:r>
          </w:p>
        </w:tc>
        <w:tc>
          <w:tcPr>
            <w:tcW w:type="dxa" w:w="1080"/>
            <w:vAlign w:val="center"/>
          </w:tcPr>
          <w:p>
            <w:pPr>
              <w:spacing w:after="0"/>
            </w:pPr>
            <w:r/>
            <w:r>
              <w:rPr>
                <w:b w:val="0"/>
              </w:rPr>
              <w:t>1.9681 V</w:t>
            </w:r>
          </w:p>
        </w:tc>
        <w:tc>
          <w:tcPr>
            <w:tcW w:type="dxa" w:w="2232"/>
            <w:vAlign w:val="center"/>
          </w:tcPr>
          <w:p>
            <w:pPr>
              <w:spacing w:after="0"/>
            </w:pPr>
            <w:r/>
            <w:r>
              <w:rPr>
                <w:b w:val="0"/>
              </w:rPr>
              <w:t>2.4173 to 2.6058 V</w:t>
            </w:r>
          </w:p>
        </w:tc>
        <w:tc>
          <w:tcPr>
            <w:tcW w:type="dxa" w:w="936"/>
            <w:vAlign w:val="center"/>
          </w:tcPr>
          <w:p>
            <w:pPr>
              <w:spacing w:after="0"/>
            </w:pPr>
            <w:r/>
            <w:r>
              <w:rPr>
                <w:b w:val="0"/>
              </w:rPr>
              <w:t>0.00 V</w:t>
            </w:r>
          </w:p>
        </w:tc>
        <w:tc>
          <w:tcPr>
            <w:tcW w:type="dxa" w:w="1008"/>
            <w:vAlign w:val="center"/>
          </w:tcPr>
          <w:p>
            <w:pPr>
              <w:spacing w:after="0"/>
            </w:pPr>
            <w:r/>
            <w:r>
              <w:rPr>
                <w:b w:val="0"/>
              </w:rPr>
              <w:t>outside</w:t>
            </w:r>
          </w:p>
        </w:tc>
      </w:tr>
      <w:tr>
        <w:tc>
          <w:tcPr>
            <w:tcW w:type="dxa" w:w="3384"/>
            <w:vAlign w:val="center"/>
          </w:tcPr>
          <w:p>
            <w:pPr>
              <w:spacing w:after="0"/>
            </w:pPr>
            <w:r/>
            <w:r>
              <w:rPr>
                <w:b w:val="0"/>
              </w:rPr>
              <w:t>Startup settled</w:t>
            </w:r>
          </w:p>
        </w:tc>
        <w:tc>
          <w:tcPr>
            <w:tcW w:type="dxa" w:w="1152"/>
            <w:vAlign w:val="center"/>
          </w:tcPr>
          <w:p>
            <w:pPr>
              <w:spacing w:after="0"/>
            </w:pPr>
            <w:r/>
            <w:r>
              <w:rPr>
                <w:b w:val="0"/>
              </w:rPr>
              <w:t>1.5007 s</w:t>
            </w:r>
          </w:p>
        </w:tc>
        <w:tc>
          <w:tcPr>
            <w:tcW w:type="dxa" w:w="1080"/>
            <w:vAlign w:val="center"/>
          </w:tcPr>
          <w:p>
            <w:pPr>
              <w:spacing w:after="0"/>
            </w:pPr>
            <w:r/>
            <w:r>
              <w:rPr>
                <w:b w:val="0"/>
              </w:rPr>
              <w:t>2.4969 V</w:t>
            </w:r>
          </w:p>
        </w:tc>
        <w:tc>
          <w:tcPr>
            <w:tcW w:type="dxa" w:w="2232"/>
            <w:vAlign w:val="center"/>
          </w:tcPr>
          <w:p>
            <w:pPr>
              <w:spacing w:after="0"/>
            </w:pPr>
            <w:r/>
            <w:r>
              <w:rPr>
                <w:b w:val="0"/>
              </w:rPr>
              <w:t>2.4057 to 2.5942 V</w:t>
            </w:r>
          </w:p>
        </w:tc>
        <w:tc>
          <w:tcPr>
            <w:tcW w:type="dxa" w:w="936"/>
            <w:vAlign w:val="center"/>
          </w:tcPr>
          <w:p>
            <w:pPr>
              <w:spacing w:after="0"/>
            </w:pPr>
            <w:r/>
            <w:r>
              <w:rPr>
                <w:b w:val="0"/>
              </w:rPr>
              <w:t>0.00 V</w:t>
            </w:r>
          </w:p>
        </w:tc>
        <w:tc>
          <w:tcPr>
            <w:tcW w:type="dxa" w:w="1008"/>
            <w:vAlign w:val="center"/>
          </w:tcPr>
          <w:p>
            <w:pPr>
              <w:spacing w:after="0"/>
            </w:pPr>
            <w:r/>
            <w:r>
              <w:rPr>
                <w:b w:val="0"/>
              </w:rPr>
              <w:t>inside</w:t>
            </w:r>
          </w:p>
        </w:tc>
      </w:tr>
      <w:tr>
        <w:tc>
          <w:tcPr>
            <w:tcW w:type="dxa" w:w="3384"/>
            <w:vAlign w:val="center"/>
          </w:tcPr>
          <w:p>
            <w:pPr>
              <w:spacing w:after="0"/>
            </w:pPr>
            <w:r/>
            <w:r>
              <w:rPr>
                <w:b w:val="0"/>
              </w:rPr>
              <w:t>Large upward bend held</w:t>
            </w:r>
          </w:p>
        </w:tc>
        <w:tc>
          <w:tcPr>
            <w:tcW w:type="dxa" w:w="1152"/>
            <w:vAlign w:val="center"/>
          </w:tcPr>
          <w:p>
            <w:pPr>
              <w:spacing w:after="0"/>
            </w:pPr>
            <w:r/>
            <w:r>
              <w:rPr>
                <w:b w:val="0"/>
              </w:rPr>
              <w:t>2.2508 s</w:t>
            </w:r>
          </w:p>
        </w:tc>
        <w:tc>
          <w:tcPr>
            <w:tcW w:type="dxa" w:w="1080"/>
            <w:vAlign w:val="center"/>
          </w:tcPr>
          <w:p>
            <w:pPr>
              <w:spacing w:after="0"/>
            </w:pPr>
            <w:r/>
            <w:r>
              <w:rPr>
                <w:b w:val="0"/>
              </w:rPr>
              <w:t>4.9840 V</w:t>
            </w:r>
          </w:p>
        </w:tc>
        <w:tc>
          <w:tcPr>
            <w:tcW w:type="dxa" w:w="2232"/>
            <w:vAlign w:val="center"/>
          </w:tcPr>
          <w:p>
            <w:pPr>
              <w:spacing w:after="0"/>
            </w:pPr>
            <w:r/>
            <w:r>
              <w:rPr>
                <w:b w:val="0"/>
              </w:rPr>
              <w:t>2.5804 to 2.7689 V</w:t>
            </w:r>
          </w:p>
        </w:tc>
        <w:tc>
          <w:tcPr>
            <w:tcW w:type="dxa" w:w="936"/>
            <w:vAlign w:val="center"/>
          </w:tcPr>
          <w:p>
            <w:pPr>
              <w:spacing w:after="0"/>
            </w:pPr>
            <w:r/>
            <w:r>
              <w:rPr>
                <w:b w:val="0"/>
              </w:rPr>
              <w:t>5.00 V</w:t>
            </w:r>
          </w:p>
        </w:tc>
        <w:tc>
          <w:tcPr>
            <w:tcW w:type="dxa" w:w="1008"/>
            <w:vAlign w:val="center"/>
          </w:tcPr>
          <w:p>
            <w:pPr>
              <w:spacing w:after="0"/>
            </w:pPr>
            <w:r/>
            <w:r>
              <w:rPr>
                <w:b w:val="0"/>
              </w:rPr>
              <w:t>outside</w:t>
            </w:r>
          </w:p>
        </w:tc>
      </w:tr>
      <w:tr>
        <w:tc>
          <w:tcPr>
            <w:tcW w:type="dxa" w:w="3384"/>
            <w:vAlign w:val="center"/>
          </w:tcPr>
          <w:p>
            <w:pPr>
              <w:spacing w:after="0"/>
            </w:pPr>
            <w:r/>
            <w:r>
              <w:rPr>
                <w:b w:val="0"/>
              </w:rPr>
              <w:t>Upward release back near center</w:t>
            </w:r>
          </w:p>
        </w:tc>
        <w:tc>
          <w:tcPr>
            <w:tcW w:type="dxa" w:w="1152"/>
            <w:vAlign w:val="center"/>
          </w:tcPr>
          <w:p>
            <w:pPr>
              <w:spacing w:after="0"/>
            </w:pPr>
            <w:r/>
            <w:r>
              <w:rPr>
                <w:b w:val="0"/>
              </w:rPr>
              <w:t>3.2507 s</w:t>
            </w:r>
          </w:p>
        </w:tc>
        <w:tc>
          <w:tcPr>
            <w:tcW w:type="dxa" w:w="1080"/>
            <w:vAlign w:val="center"/>
          </w:tcPr>
          <w:p>
            <w:pPr>
              <w:spacing w:after="0"/>
            </w:pPr>
            <w:r/>
            <w:r>
              <w:rPr>
                <w:b w:val="0"/>
              </w:rPr>
              <w:t>2.4992 V</w:t>
            </w:r>
          </w:p>
        </w:tc>
        <w:tc>
          <w:tcPr>
            <w:tcW w:type="dxa" w:w="2232"/>
            <w:vAlign w:val="center"/>
          </w:tcPr>
          <w:p>
            <w:pPr>
              <w:spacing w:after="0"/>
            </w:pPr>
            <w:r/>
            <w:r>
              <w:rPr>
                <w:b w:val="0"/>
              </w:rPr>
              <w:t>2.5916 to 2.7800 V</w:t>
            </w:r>
          </w:p>
        </w:tc>
        <w:tc>
          <w:tcPr>
            <w:tcW w:type="dxa" w:w="936"/>
            <w:vAlign w:val="center"/>
          </w:tcPr>
          <w:p>
            <w:pPr>
              <w:spacing w:after="0"/>
            </w:pPr>
            <w:r/>
            <w:r>
              <w:rPr>
                <w:b w:val="0"/>
              </w:rPr>
              <w:t>5.00 V</w:t>
            </w:r>
          </w:p>
        </w:tc>
        <w:tc>
          <w:tcPr>
            <w:tcW w:type="dxa" w:w="1008"/>
            <w:vAlign w:val="center"/>
          </w:tcPr>
          <w:p>
            <w:pPr>
              <w:spacing w:after="0"/>
            </w:pPr>
            <w:r/>
            <w:r>
              <w:rPr>
                <w:b w:val="0"/>
              </w:rPr>
              <w:t>outside</w:t>
            </w:r>
          </w:p>
        </w:tc>
      </w:tr>
      <w:tr>
        <w:tc>
          <w:tcPr>
            <w:tcW w:type="dxa" w:w="3384"/>
            <w:vAlign w:val="center"/>
          </w:tcPr>
          <w:p>
            <w:pPr>
              <w:spacing w:after="0"/>
            </w:pPr>
            <w:r/>
            <w:r>
              <w:rPr>
                <w:b w:val="0"/>
              </w:rPr>
              <w:t>Downward bend held</w:t>
            </w:r>
          </w:p>
        </w:tc>
        <w:tc>
          <w:tcPr>
            <w:tcW w:type="dxa" w:w="1152"/>
            <w:vAlign w:val="center"/>
          </w:tcPr>
          <w:p>
            <w:pPr>
              <w:spacing w:after="0"/>
            </w:pPr>
            <w:r/>
            <w:r>
              <w:rPr>
                <w:b w:val="0"/>
              </w:rPr>
              <w:t>4.4996 s</w:t>
            </w:r>
          </w:p>
        </w:tc>
        <w:tc>
          <w:tcPr>
            <w:tcW w:type="dxa" w:w="1080"/>
            <w:vAlign w:val="center"/>
          </w:tcPr>
          <w:p>
            <w:pPr>
              <w:spacing w:after="0"/>
            </w:pPr>
            <w:r/>
            <w:r>
              <w:rPr>
                <w:b w:val="0"/>
              </w:rPr>
              <w:t>-0.0046 V</w:t>
            </w:r>
          </w:p>
        </w:tc>
        <w:tc>
          <w:tcPr>
            <w:tcW w:type="dxa" w:w="2232"/>
            <w:vAlign w:val="center"/>
          </w:tcPr>
          <w:p>
            <w:pPr>
              <w:spacing w:after="0"/>
            </w:pPr>
            <w:r/>
            <w:r>
              <w:rPr>
                <w:b w:val="0"/>
              </w:rPr>
              <w:t>2.0435 to 2.2319 V</w:t>
            </w:r>
          </w:p>
        </w:tc>
        <w:tc>
          <w:tcPr>
            <w:tcW w:type="dxa" w:w="936"/>
            <w:vAlign w:val="center"/>
          </w:tcPr>
          <w:p>
            <w:pPr>
              <w:spacing w:after="0"/>
            </w:pPr>
            <w:r/>
            <w:r>
              <w:rPr>
                <w:b w:val="0"/>
              </w:rPr>
              <w:t>5.00 V</w:t>
            </w:r>
          </w:p>
        </w:tc>
        <w:tc>
          <w:tcPr>
            <w:tcW w:type="dxa" w:w="1008"/>
            <w:vAlign w:val="center"/>
          </w:tcPr>
          <w:p>
            <w:pPr>
              <w:spacing w:after="0"/>
            </w:pPr>
            <w:r/>
            <w:r>
              <w:rPr>
                <w:b w:val="0"/>
              </w:rPr>
              <w:t>outside</w:t>
            </w:r>
          </w:p>
        </w:tc>
      </w:tr>
      <w:tr>
        <w:tc>
          <w:tcPr>
            <w:tcW w:type="dxa" w:w="3384"/>
            <w:vAlign w:val="center"/>
          </w:tcPr>
          <w:p>
            <w:pPr>
              <w:spacing w:after="0"/>
            </w:pPr>
            <w:r/>
            <w:r>
              <w:rPr>
                <w:b w:val="0"/>
              </w:rPr>
              <w:t>Downward release entering moving window</w:t>
            </w:r>
          </w:p>
        </w:tc>
        <w:tc>
          <w:tcPr>
            <w:tcW w:type="dxa" w:w="1152"/>
            <w:vAlign w:val="center"/>
          </w:tcPr>
          <w:p>
            <w:pPr>
              <w:spacing w:after="0"/>
            </w:pPr>
            <w:r/>
            <w:r>
              <w:rPr>
                <w:b w:val="0"/>
              </w:rPr>
              <w:t>4.7376 s</w:t>
            </w:r>
          </w:p>
        </w:tc>
        <w:tc>
          <w:tcPr>
            <w:tcW w:type="dxa" w:w="1080"/>
            <w:vAlign w:val="center"/>
          </w:tcPr>
          <w:p>
            <w:pPr>
              <w:spacing w:after="0"/>
            </w:pPr>
            <w:r/>
            <w:r>
              <w:rPr>
                <w:b w:val="0"/>
              </w:rPr>
              <w:t>2.1896 V</w:t>
            </w:r>
          </w:p>
        </w:tc>
        <w:tc>
          <w:tcPr>
            <w:tcW w:type="dxa" w:w="2232"/>
            <w:vAlign w:val="center"/>
          </w:tcPr>
          <w:p>
            <w:pPr>
              <w:spacing w:after="0"/>
            </w:pPr>
            <w:r/>
            <w:r>
              <w:rPr>
                <w:b w:val="0"/>
              </w:rPr>
              <w:t>2.1867 to 2.3752 V</w:t>
            </w:r>
          </w:p>
        </w:tc>
        <w:tc>
          <w:tcPr>
            <w:tcW w:type="dxa" w:w="936"/>
            <w:vAlign w:val="center"/>
          </w:tcPr>
          <w:p>
            <w:pPr>
              <w:spacing w:after="0"/>
            </w:pPr>
            <w:r/>
            <w:r>
              <w:rPr>
                <w:b w:val="0"/>
              </w:rPr>
              <w:t>5.00 V</w:t>
            </w:r>
          </w:p>
        </w:tc>
        <w:tc>
          <w:tcPr>
            <w:tcW w:type="dxa" w:w="1008"/>
            <w:vAlign w:val="center"/>
          </w:tcPr>
          <w:p>
            <w:pPr>
              <w:spacing w:after="0"/>
            </w:pPr>
            <w:r/>
            <w:r>
              <w:rPr>
                <w:b w:val="0"/>
              </w:rPr>
              <w:t>inside</w:t>
            </w:r>
          </w:p>
        </w:tc>
      </w:tr>
      <w:tr>
        <w:tc>
          <w:tcPr>
            <w:tcW w:type="dxa" w:w="3384"/>
            <w:vAlign w:val="center"/>
          </w:tcPr>
          <w:p>
            <w:pPr>
              <w:spacing w:after="0"/>
            </w:pPr>
            <w:r/>
            <w:r>
              <w:rPr>
                <w:b w:val="0"/>
              </w:rPr>
              <w:t>Downward release captured</w:t>
            </w:r>
          </w:p>
        </w:tc>
        <w:tc>
          <w:tcPr>
            <w:tcW w:type="dxa" w:w="1152"/>
            <w:vAlign w:val="center"/>
          </w:tcPr>
          <w:p>
            <w:pPr>
              <w:spacing w:after="0"/>
            </w:pPr>
            <w:r/>
            <w:r>
              <w:rPr>
                <w:b w:val="0"/>
              </w:rPr>
              <w:t>4.7500 s</w:t>
            </w:r>
          </w:p>
        </w:tc>
        <w:tc>
          <w:tcPr>
            <w:tcW w:type="dxa" w:w="1080"/>
            <w:vAlign w:val="center"/>
          </w:tcPr>
          <w:p>
            <w:pPr>
              <w:spacing w:after="0"/>
            </w:pPr>
            <w:r/>
            <w:r>
              <w:rPr>
                <w:b w:val="0"/>
              </w:rPr>
              <w:t>2.3302 V</w:t>
            </w:r>
          </w:p>
        </w:tc>
        <w:tc>
          <w:tcPr>
            <w:tcW w:type="dxa" w:w="2232"/>
            <w:vAlign w:val="center"/>
          </w:tcPr>
          <w:p>
            <w:pPr>
              <w:spacing w:after="0"/>
            </w:pPr>
            <w:r/>
            <w:r>
              <w:rPr>
                <w:b w:val="0"/>
              </w:rPr>
              <w:t>2.1999 to 2.3883 V</w:t>
            </w:r>
          </w:p>
        </w:tc>
        <w:tc>
          <w:tcPr>
            <w:tcW w:type="dxa" w:w="936"/>
            <w:vAlign w:val="center"/>
          </w:tcPr>
          <w:p>
            <w:pPr>
              <w:spacing w:after="0"/>
            </w:pPr>
            <w:r/>
            <w:r>
              <w:rPr>
                <w:b w:val="0"/>
              </w:rPr>
              <w:t>0.00 V</w:t>
            </w:r>
          </w:p>
        </w:tc>
        <w:tc>
          <w:tcPr>
            <w:tcW w:type="dxa" w:w="1008"/>
            <w:vAlign w:val="center"/>
          </w:tcPr>
          <w:p>
            <w:pPr>
              <w:spacing w:after="0"/>
            </w:pPr>
            <w:r/>
            <w:r>
              <w:rPr>
                <w:b w:val="0"/>
              </w:rPr>
              <w:t>inside</w:t>
            </w:r>
          </w:p>
        </w:tc>
      </w:tr>
      <w:tr>
        <w:tc>
          <w:tcPr>
            <w:tcW w:type="dxa" w:w="3384"/>
            <w:vAlign w:val="center"/>
          </w:tcPr>
          <w:p>
            <w:pPr>
              <w:spacing w:after="0"/>
            </w:pPr>
            <w:r/>
            <w:r>
              <w:rPr>
                <w:b w:val="0"/>
              </w:rPr>
              <w:t>Post-release center before vibrato</w:t>
            </w:r>
          </w:p>
        </w:tc>
        <w:tc>
          <w:tcPr>
            <w:tcW w:type="dxa" w:w="1152"/>
            <w:vAlign w:val="center"/>
          </w:tcPr>
          <w:p>
            <w:pPr>
              <w:spacing w:after="0"/>
            </w:pPr>
            <w:r/>
            <w:r>
              <w:rPr>
                <w:b w:val="0"/>
              </w:rPr>
              <w:t>5.3999 s</w:t>
            </w:r>
          </w:p>
        </w:tc>
        <w:tc>
          <w:tcPr>
            <w:tcW w:type="dxa" w:w="1080"/>
            <w:vAlign w:val="center"/>
          </w:tcPr>
          <w:p>
            <w:pPr>
              <w:spacing w:after="0"/>
            </w:pPr>
            <w:r/>
            <w:r>
              <w:rPr>
                <w:b w:val="0"/>
              </w:rPr>
              <w:t>2.4965 V</w:t>
            </w:r>
          </w:p>
        </w:tc>
        <w:tc>
          <w:tcPr>
            <w:tcW w:type="dxa" w:w="2232"/>
            <w:vAlign w:val="center"/>
          </w:tcPr>
          <w:p>
            <w:pPr>
              <w:spacing w:after="0"/>
            </w:pPr>
            <w:r/>
            <w:r>
              <w:rPr>
                <w:b w:val="0"/>
              </w:rPr>
              <w:t>2.4005 to 2.5889 V</w:t>
            </w:r>
          </w:p>
        </w:tc>
        <w:tc>
          <w:tcPr>
            <w:tcW w:type="dxa" w:w="936"/>
            <w:vAlign w:val="center"/>
          </w:tcPr>
          <w:p>
            <w:pPr>
              <w:spacing w:after="0"/>
            </w:pPr>
            <w:r/>
            <w:r>
              <w:rPr>
                <w:b w:val="0"/>
              </w:rPr>
              <w:t>0.01 V</w:t>
            </w:r>
          </w:p>
        </w:tc>
        <w:tc>
          <w:tcPr>
            <w:tcW w:type="dxa" w:w="1008"/>
            <w:vAlign w:val="center"/>
          </w:tcPr>
          <w:p>
            <w:pPr>
              <w:spacing w:after="0"/>
            </w:pPr>
            <w:r/>
            <w:r>
              <w:rPr>
                <w:b w:val="0"/>
              </w:rPr>
              <w:t>inside</w:t>
            </w:r>
          </w:p>
        </w:tc>
      </w:tr>
      <w:tr>
        <w:tc>
          <w:tcPr>
            <w:tcW w:type="dxa" w:w="3384"/>
            <w:vAlign w:val="center"/>
          </w:tcPr>
          <w:p>
            <w:pPr>
              <w:spacing w:after="0"/>
            </w:pPr>
            <w:r/>
            <w:r>
              <w:rPr>
                <w:b w:val="0"/>
              </w:rPr>
              <w:t>Vibrato interval sample</w:t>
            </w:r>
          </w:p>
        </w:tc>
        <w:tc>
          <w:tcPr>
            <w:tcW w:type="dxa" w:w="1152"/>
            <w:vAlign w:val="center"/>
          </w:tcPr>
          <w:p>
            <w:pPr>
              <w:spacing w:after="0"/>
            </w:pPr>
            <w:r/>
            <w:r>
              <w:rPr>
                <w:b w:val="0"/>
              </w:rPr>
              <w:t>6.0009 s</w:t>
            </w:r>
          </w:p>
        </w:tc>
        <w:tc>
          <w:tcPr>
            <w:tcW w:type="dxa" w:w="1080"/>
            <w:vAlign w:val="center"/>
          </w:tcPr>
          <w:p>
            <w:pPr>
              <w:spacing w:after="0"/>
            </w:pPr>
            <w:r/>
            <w:r>
              <w:rPr>
                <w:b w:val="0"/>
              </w:rPr>
              <w:t>2.4719 V</w:t>
            </w:r>
          </w:p>
        </w:tc>
        <w:tc>
          <w:tcPr>
            <w:tcW w:type="dxa" w:w="2232"/>
            <w:vAlign w:val="center"/>
          </w:tcPr>
          <w:p>
            <w:pPr>
              <w:spacing w:after="0"/>
            </w:pPr>
            <w:r/>
            <w:r>
              <w:rPr>
                <w:b w:val="0"/>
              </w:rPr>
              <w:t>2.3975 to 2.5860 V</w:t>
            </w:r>
          </w:p>
        </w:tc>
        <w:tc>
          <w:tcPr>
            <w:tcW w:type="dxa" w:w="936"/>
            <w:vAlign w:val="center"/>
          </w:tcPr>
          <w:p>
            <w:pPr>
              <w:spacing w:after="0"/>
            </w:pPr>
            <w:r/>
            <w:r>
              <w:rPr>
                <w:b w:val="0"/>
              </w:rPr>
              <w:t>0.00 V</w:t>
            </w:r>
          </w:p>
        </w:tc>
        <w:tc>
          <w:tcPr>
            <w:tcW w:type="dxa" w:w="1008"/>
            <w:vAlign w:val="center"/>
          </w:tcPr>
          <w:p>
            <w:pPr>
              <w:spacing w:after="0"/>
            </w:pPr>
            <w:r/>
            <w:r>
              <w:rPr>
                <w:b w:val="0"/>
              </w:rPr>
              <w:t>inside</w:t>
            </w:r>
          </w:p>
        </w:tc>
      </w:tr>
    </w:tbl>
    <w:p>
      <w:pPr>
        <w:spacing w:after="40"/>
      </w:pPr>
    </w:p>
    <w:p>
      <w:r>
        <w:t>The decisive moment is the downward release. Around 4.7376 s, OUT is 2.1896 V and the moving lower threshold is 2.1867 V, so the release is just inside the window. By 4.7500 s, OUT has recovered to 2.3302 V and remains inside the moving window. This is the behavior the fixed narrow window failed to provide.</w:t>
      </w:r>
    </w:p>
    <w:p>
      <w:pPr>
        <w:jc w:val="center"/>
      </w:pPr>
      <w:r>
        <w:drawing>
          <wp:inline xmlns:a="http://schemas.openxmlformats.org/drawingml/2006/main" xmlns:pic="http://schemas.openxmlformats.org/drawingml/2006/picture">
            <wp:extent cx="5989320" cy="3034589"/>
            <wp:docPr id="1" name="Picture 1"/>
            <wp:cNvGraphicFramePr>
              <a:graphicFrameLocks noChangeAspect="1"/>
            </wp:cNvGraphicFramePr>
            <a:graphic>
              <a:graphicData uri="http://schemas.openxmlformats.org/drawingml/2006/picture">
                <pic:pic>
                  <pic:nvPicPr>
                    <pic:cNvPr id="0" name="ewhammy_plot10_overview.png"/>
                    <pic:cNvPicPr/>
                  </pic:nvPicPr>
                  <pic:blipFill>
                    <a:blip r:embed="rId9"/>
                    <a:stretch>
                      <a:fillRect/>
                    </a:stretch>
                  </pic:blipFill>
                  <pic:spPr>
                    <a:xfrm>
                      <a:off x="0" y="0"/>
                      <a:ext cx="5989320" cy="3034589"/>
                    </a:xfrm>
                    <a:prstGeom prst="rect"/>
                  </pic:spPr>
                </pic:pic>
              </a:graphicData>
            </a:graphic>
          </wp:inline>
        </w:drawing>
      </w:r>
    </w:p>
    <w:p>
      <w:pPr>
        <w:jc w:val="center"/>
      </w:pPr>
      <w:r>
        <w:t>Figure 1. Final simulation overview from plot10.csv. OUT is blue, WH red, WL green, and HOLD yellow. The moving thresholds retain a narrow fixed separation while their center follows slow OUT movement.</w:t>
      </w:r>
    </w:p>
    <w:p>
      <w:pPr>
        <w:pStyle w:val="Heading1"/>
      </w:pPr>
      <w:r>
        <w:t>Startup Reset</w:t>
      </w:r>
    </w:p>
    <w:p>
      <w:r>
        <w:t>The startup reset is intentionally active-low with respect to HOLD. The open-drain inverter and the 2.2uF/1M RC network force HOLD low at startup, not high. That allows the servo to track and settle during power application. In the latest simulation, OUT is already close to center by 1.0 s and remains centered through the 1.5 s to 2.0 s startup interval.</w:t>
      </w:r>
    </w:p>
    <w:p>
      <w:r>
        <w:t>This also removes the need for the synthesized TOUCH signal. The circuit no longer depends on guessing when the player touches or releases the whammy bar; startup acquisition and motion-qualified HOLD behavior are handled locally by the analog circuitry.</w:t>
      </w:r>
    </w:p>
    <w:p>
      <w:pPr>
        <w:pStyle w:val="Heading1"/>
      </w:pPr>
      <w:r>
        <w:t>Vibrato Behavior</w:t>
      </w:r>
    </w:p>
    <w:p>
      <w:r>
        <w:t>The vibrato region can produce short HOLD pulses of roughly 54 ms to 64 ms in the simulation. This is acceptable for the reset mechanism because the reset/integrator dynamics are far below the 5 Hz vibrato frequency. In other words, the logic may see brief excursions, but the correction path is too slow to flatten the vibrato appreciably.</w:t>
      </w:r>
    </w:p>
    <w:p>
      <w:pPr>
        <w:pStyle w:val="Heading1"/>
      </w:pPr>
      <w:r>
        <w:t>Current Conclusion</w:t>
      </w:r>
    </w:p>
    <w:p>
      <w:r>
        <w:t>The current design is the strongest result so far. It preserves a narrow musical reset window, captures both upward and downward releases despite spring hysteresis, no longer needs TOUCH, and starts cleanly because HOLD is forced low during power-up. The main remaining work is physical validation: capacitor tolerance and DC bias, op amp/comparator offsets, leakage, and the real spring hysteresis distribution should be checked on hardware.</w:t>
      </w:r>
    </w:p>
    <w:p>
      <w:pPr>
        <w:pStyle w:val="Heading1"/>
      </w:pPr>
      <w:r>
        <w:t>Open Checks Before Hardware Freeze</w:t>
      </w:r>
    </w:p>
    <w:p>
      <w:pPr>
        <w:pStyle w:val="ListBullet"/>
      </w:pPr>
      <w:r>
        <w:t>Confirm the moving-window low-pass time constant against real playing gestures, not only the synthetic model.</w:t>
      </w:r>
    </w:p>
    <w:p>
      <w:pPr>
        <w:pStyle w:val="ListBullet"/>
      </w:pPr>
      <w:r>
        <w:t>Verify MLCC effective capacitance for the 2.2uF and 10uF capacitors at actual bias and package size.</w:t>
      </w:r>
    </w:p>
    <w:p>
      <w:pPr>
        <w:pStyle w:val="ListBullet"/>
      </w:pPr>
      <w:r>
        <w:t>Check comparator/open-drain propagation and pull-up values against startup and HOLD timing.</w:t>
      </w:r>
    </w:p>
    <w:p>
      <w:pPr>
        <w:pStyle w:val="ListBullet"/>
      </w:pPr>
      <w:r>
        <w:t>Measure real up-release and down-release distributions after mechanical assembly tolerances are included.</w:t>
      </w:r>
    </w:p>
    <w:p>
      <w:pPr>
        <w:pStyle w:val="ListBullet"/>
      </w:pPr>
      <w:r>
        <w:t>Confirm that the narrow +/-94 mV window is still acceptable across VREF tolerance and gain tolerance.</w:t>
      </w:r>
    </w:p>
    <w:sectPr w:rsidR="00FC693F" w:rsidRPr="0006063C" w:rsidSect="00034616">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eWhammy current final simulation summary - May 17,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Calibri" w:hAnsi="Calibri" w:eastAsia="Calibri"/>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