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E437"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Ключевые моменты современных методов передачи сообщений в Интернете</w:t>
      </w:r>
    </w:p>
    <w:p w14:paraId="2A3BF5DD"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Исследования показывают, что SOAP остаётся актуальным для безопасных интеграций корпоративного уровня, несмотря на возраст, в то время как REST доминирует благодаря простоте и масштабируемости в веб-API.</w:t>
      </w:r>
    </w:p>
    <w:p w14:paraId="5953D7A1"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Доказательства склоняются к тому, что REST — наиболее широко принятый современный подход, часто использующий JSON для лёгкого обмена данными, хотя XML сохраняется в устаревших системах.</w:t>
      </w:r>
    </w:p>
    <w:p w14:paraId="00842C1C"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JSON-RPC (вероятно, подразумевается как «JRPS») предлагает простой, безсостояниевый RPC-альтернативу для точных вызовов методов, подходящую для блокчейна или внутренних сервисов, но менее гибкую, чем REST.</w:t>
      </w:r>
    </w:p>
    <w:p w14:paraId="699CE1DF"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 служит основным форматом для структурированных данных в протоколах вроде SOAP, но современные тенденции отдают предпочтение JSON за эффективность.</w:t>
      </w:r>
    </w:p>
    <w:p w14:paraId="42920E97"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WSDL (вероятно, «WESDL») описывает сервисы SOAP, обеспечивая обнаружение и взаимодействие, хотя реже используется в новых RESTful-дизайнах.</w:t>
      </w:r>
    </w:p>
    <w:p w14:paraId="78468F58"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WDDX предоставляет XML-основанный способ обмена сложными данными между платформами, но в значительной степени устарел и редко используется сегодня по сравнению с альтернативами на JSON.</w:t>
      </w:r>
    </w:p>
    <w:p w14:paraId="45F610AA" w14:textId="77777777" w:rsidR="00DE4CEB" w:rsidRPr="00DE4CEB" w:rsidRDefault="00DE4CEB" w:rsidP="00DE4CEB">
      <w:pPr>
        <w:numPr>
          <w:ilvl w:val="0"/>
          <w:numId w:val="3"/>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Новые протоколы, такие как gRPC и GraphQL, решают ограничения традиционных методов, предлагая высокую производительность или гибкие запросы, отражая продолжающуюся эволюцию в этой области.</w:t>
      </w:r>
    </w:p>
    <w:p w14:paraId="0BEA209A"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Обзор основных методов</w:t>
      </w:r>
      <w:r w:rsidRPr="00DE4CEB">
        <w:rPr>
          <w:rFonts w:eastAsia="Times New Roman" w:cs="Times New Roman"/>
          <w:kern w:val="0"/>
          <w:sz w:val="24"/>
          <w:szCs w:val="24"/>
          <w:lang w:eastAsia="ru-RU"/>
          <w14:ligatures w14:val="none"/>
        </w:rPr>
        <w:t xml:space="preserve"> SOAP (Simple Object Access Protocol) — это протокол для структурированного обмена сообщениями, часто через HTTP, использующий XML для надёжности в сложных транзакциях. Ценится в регулируемых отраслях, но может быть избыточным. REST (Representational State Transfer) — архитектурный стиль, использующий методы HTTP для безсостояниевых операций, поддерживающий форматы вроде JSON или XML, идеален для масштабируемых веб-сервисов. JSON-RPC позволяет выполнять удалённые вызовы процедур через JSON, фокусируясь на вызове методов с параметрами, и поддерживает уведомления без ответа для эффективности.</w:t>
      </w:r>
    </w:p>
    <w:p w14:paraId="2FF17B6E"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Поддерживающие технологии</w:t>
      </w:r>
      <w:r w:rsidRPr="00DE4CEB">
        <w:rPr>
          <w:rFonts w:eastAsia="Times New Roman" w:cs="Times New Roman"/>
          <w:kern w:val="0"/>
          <w:sz w:val="24"/>
          <w:szCs w:val="24"/>
          <w:lang w:eastAsia="ru-RU"/>
          <w14:ligatures w14:val="none"/>
        </w:rPr>
        <w:t xml:space="preserve"> XML — универсальный язык разметки для кодирования данных в человекочитаемом формате, необходимый для SOAP и WDDX. WSDL определяет интерфейсы веб-сервисов в XML, указывая операции и сообщения для взаимодействия клиент-сервер, преимущественно с SOAP. WDDX облегчает обмен данными между языками с помощью XML-пакетов, хотя его применение сократилось.</w:t>
      </w:r>
    </w:p>
    <w:p w14:paraId="5E18E960"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Тенденции и альтернативы</w:t>
      </w:r>
      <w:r w:rsidRPr="00DE4CEB">
        <w:rPr>
          <w:rFonts w:eastAsia="Times New Roman" w:cs="Times New Roman"/>
          <w:kern w:val="0"/>
          <w:sz w:val="24"/>
          <w:szCs w:val="24"/>
          <w:lang w:eastAsia="ru-RU"/>
          <w14:ligatures w14:val="none"/>
        </w:rPr>
        <w:t xml:space="preserve"> Хотя SOAP и инструменты на базе XML, такие как WSDL и WDDX, подходят для устаревших нужд, современные предпочтения смещаются к REST, JSON-RPC, gRPC (для производительности) и GraphQL (для гибкости запросов), балансируя эффективность и требования кейсов. Для реального времени WebSockets или вебхуки дополняют эти методы.</w:t>
      </w:r>
    </w:p>
    <w:p w14:paraId="7CBDED79"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Глубокое исследование протоколов и форматов передачи сообщений в интернет-сетях</w:t>
      </w:r>
      <w:r w:rsidRPr="00DE4CEB">
        <w:rPr>
          <w:rFonts w:eastAsia="Times New Roman" w:cs="Times New Roman"/>
          <w:kern w:val="0"/>
          <w:sz w:val="24"/>
          <w:szCs w:val="24"/>
          <w:lang w:eastAsia="ru-RU"/>
          <w14:ligatures w14:val="none"/>
        </w:rPr>
        <w:t xml:space="preserve"> Передача сообщений в интернете эволюционировала от жёстких, тяжёлых на XML протоколов к более гибким и эффективным архитектурам. В этом разделе подробно рассматриваются упомянутые методы — SOAP, REST, JSON-RPC (интерпретируя «JRPS» как вероятную отсылку к JSON-RPC на основе распространённых протоколов и результатов поиска), XML как формат, WSDL и WDDX — с контекстом в более широких современных тенденциях, таких как gRPC и GraphQL. Эти подходы обеспечивают обмен данными между клиентами и серверами, поддерживая веб-сервисы, API и распределённые </w:t>
      </w:r>
      <w:r w:rsidRPr="00DE4CEB">
        <w:rPr>
          <w:rFonts w:eastAsia="Times New Roman" w:cs="Times New Roman"/>
          <w:kern w:val="0"/>
          <w:sz w:val="24"/>
          <w:szCs w:val="24"/>
          <w:lang w:eastAsia="ru-RU"/>
          <w14:ligatures w14:val="none"/>
        </w:rPr>
        <w:lastRenderedPageBreak/>
        <w:t>системы. Мы изучим определения, механизмы, преимущества, ограничения, примеры и сравнения, опираясь на проверенные источники для сбалансированного обзора.</w:t>
      </w:r>
    </w:p>
    <w:p w14:paraId="1246D178" w14:textId="6086E605"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SOAP: Структурированный корпоративный протокол</w:t>
      </w:r>
      <w:r w:rsidRPr="00DE4CEB">
        <w:rPr>
          <w:rFonts w:eastAsia="Times New Roman" w:cs="Times New Roman"/>
          <w:kern w:val="0"/>
          <w:sz w:val="24"/>
          <w:szCs w:val="24"/>
          <w:lang w:eastAsia="ru-RU"/>
          <w14:ligatures w14:val="none"/>
        </w:rPr>
        <w:t xml:space="preserve"> SOAP, или Simple Object Access Protocol, появился в конце 1990-х как способ обмена структурированной информацией в веб-сервисах, преимущественно с использованием XML. Работает как протокол для синхронного или асинхронного обмена сообщениями по транспортам вроде HTTP, SMTP, TCP или UDP. Сообщение SOAP состоит из Envelope (определяет структуру), необязательного Header (для метаданных, например аутентификации), Body (содержит полезную нагрузку) и Fault (для деталей ошибок).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высокая безопасность через расширения WS-Security, поддержка состояниевых операций в сложных транзакциях, встроенная обработка ошибок.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xml:space="preserve">: избыточность из-за XML, большие объёмы данных и медленный парсинг, крутая кривая обучения из-за строгих схем. </w:t>
      </w:r>
      <w:r w:rsidRPr="00DE4CEB">
        <w:rPr>
          <w:rFonts w:eastAsia="Times New Roman" w:cs="Times New Roman"/>
          <w:b/>
          <w:bCs/>
          <w:kern w:val="0"/>
          <w:sz w:val="24"/>
          <w:szCs w:val="24"/>
          <w:lang w:eastAsia="ru-RU"/>
          <w14:ligatures w14:val="none"/>
        </w:rPr>
        <w:t>Кейсы</w:t>
      </w:r>
      <w:r w:rsidRPr="00DE4CEB">
        <w:rPr>
          <w:rFonts w:eastAsia="Times New Roman" w:cs="Times New Roman"/>
          <w:kern w:val="0"/>
          <w:sz w:val="24"/>
          <w:szCs w:val="24"/>
          <w:lang w:eastAsia="ru-RU"/>
          <w14:ligatures w14:val="none"/>
        </w:rPr>
        <w:t xml:space="preserve">: финансовые системы и корпоративные интеграции, где надёжность важнее скорости. </w:t>
      </w:r>
      <w:r w:rsidRPr="00DE4CEB">
        <w:rPr>
          <w:rFonts w:eastAsia="Times New Roman" w:cs="Times New Roman"/>
          <w:b/>
          <w:bCs/>
          <w:kern w:val="0"/>
          <w:sz w:val="24"/>
          <w:szCs w:val="24"/>
          <w:lang w:eastAsia="ru-RU"/>
          <w14:ligatures w14:val="none"/>
        </w:rPr>
        <w:t>Пример SOAP-запроса (формат XML):</w:t>
      </w:r>
    </w:p>
    <w:p w14:paraId="41DEABE1"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val="en-US" w:eastAsia="ru-RU"/>
          <w14:ligatures w14:val="none"/>
        </w:rPr>
        <w:t>&lt;</w:t>
      </w:r>
      <w:r w:rsidRPr="00DE4CEB">
        <w:rPr>
          <w:rFonts w:ascii="Courier New" w:eastAsia="Times New Roman" w:hAnsi="Courier New" w:cs="Courier New"/>
          <w:color w:val="569CD6"/>
          <w:kern w:val="0"/>
          <w:sz w:val="20"/>
          <w:szCs w:val="20"/>
          <w:lang w:val="en-US" w:eastAsia="ru-RU"/>
          <w14:ligatures w14:val="none"/>
        </w:rPr>
        <w:t>soap:Envelope</w:t>
      </w:r>
      <w:r w:rsidRPr="00DE4CEB">
        <w:rPr>
          <w:rFonts w:ascii="Courier New" w:eastAsia="Times New Roman" w:hAnsi="Courier New" w:cs="Courier New"/>
          <w:color w:val="9CDCFE"/>
          <w:kern w:val="0"/>
          <w:sz w:val="20"/>
          <w:szCs w:val="20"/>
          <w:lang w:val="en-US" w:eastAsia="ru-RU"/>
          <w14:ligatures w14:val="none"/>
        </w:rPr>
        <w:t xml:space="preserve"> xmlns:soap</w:t>
      </w:r>
      <w:r w:rsidRPr="00DE4CEB">
        <w:rPr>
          <w:rFonts w:ascii="Courier New" w:eastAsia="Times New Roman" w:hAnsi="Courier New" w:cs="Courier New"/>
          <w:color w:val="E6E6E6"/>
          <w:kern w:val="0"/>
          <w:sz w:val="20"/>
          <w:szCs w:val="20"/>
          <w:lang w:val="en-US" w:eastAsia="ru-RU"/>
          <w14:ligatures w14:val="none"/>
        </w:rPr>
        <w:t>=</w:t>
      </w:r>
      <w:r w:rsidRPr="00DE4CEB">
        <w:rPr>
          <w:rFonts w:ascii="Courier New" w:eastAsia="Times New Roman" w:hAnsi="Courier New" w:cs="Courier New"/>
          <w:color w:val="CE9178"/>
          <w:kern w:val="0"/>
          <w:sz w:val="20"/>
          <w:szCs w:val="20"/>
          <w:lang w:val="en-US" w:eastAsia="ru-RU"/>
          <w14:ligatures w14:val="none"/>
        </w:rPr>
        <w:t>"http://www.w3.org/2003/05/soap-envelope"</w:t>
      </w:r>
      <w:r w:rsidRPr="00DE4CEB">
        <w:rPr>
          <w:rFonts w:ascii="Courier New" w:eastAsia="Times New Roman" w:hAnsi="Courier New" w:cs="Courier New"/>
          <w:color w:val="808080"/>
          <w:kern w:val="0"/>
          <w:sz w:val="20"/>
          <w:szCs w:val="20"/>
          <w:lang w:val="en-US" w:eastAsia="ru-RU"/>
          <w14:ligatures w14:val="none"/>
        </w:rPr>
        <w:t>&gt;</w:t>
      </w:r>
    </w:p>
    <w:p w14:paraId="1674B4ED"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ru-RU"/>
          <w14:ligatures w14:val="none"/>
        </w:rPr>
      </w:pPr>
      <w:r w:rsidRPr="00DE4CEB">
        <w:rPr>
          <w:rFonts w:ascii="Courier New" w:eastAsia="Times New Roman" w:hAnsi="Courier New" w:cs="Courier New"/>
          <w:color w:val="808080"/>
          <w:kern w:val="0"/>
          <w:sz w:val="20"/>
          <w:szCs w:val="20"/>
          <w:lang w:val="en-US" w:eastAsia="ru-RU"/>
          <w14:ligatures w14:val="none"/>
        </w:rPr>
        <w:t xml:space="preserve">  </w:t>
      </w:r>
      <w:r w:rsidRPr="00DE4CEB">
        <w:rPr>
          <w:rFonts w:ascii="Courier New" w:eastAsia="Times New Roman" w:hAnsi="Courier New" w:cs="Courier New"/>
          <w:color w:val="808080"/>
          <w:kern w:val="0"/>
          <w:sz w:val="20"/>
          <w:szCs w:val="20"/>
          <w:lang w:eastAsia="ru-RU"/>
          <w14:ligatures w14:val="none"/>
        </w:rPr>
        <w:t>&lt;</w:t>
      </w:r>
      <w:r w:rsidRPr="00DE4CEB">
        <w:rPr>
          <w:rFonts w:ascii="Courier New" w:eastAsia="Times New Roman" w:hAnsi="Courier New" w:cs="Courier New"/>
          <w:color w:val="569CD6"/>
          <w:kern w:val="0"/>
          <w:sz w:val="20"/>
          <w:szCs w:val="20"/>
          <w:lang w:eastAsia="ru-RU"/>
          <w14:ligatures w14:val="none"/>
        </w:rPr>
        <w:t>soap:Header</w:t>
      </w:r>
      <w:r w:rsidRPr="00DE4CEB">
        <w:rPr>
          <w:rFonts w:ascii="Courier New" w:eastAsia="Times New Roman" w:hAnsi="Courier New" w:cs="Courier New"/>
          <w:color w:val="808080"/>
          <w:kern w:val="0"/>
          <w:sz w:val="20"/>
          <w:szCs w:val="20"/>
          <w:lang w:eastAsia="ru-RU"/>
          <w14:ligatures w14:val="none"/>
        </w:rPr>
        <w:t>&gt;</w:t>
      </w:r>
    </w:p>
    <w:p w14:paraId="164DA7F0"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ru-RU"/>
          <w14:ligatures w14:val="none"/>
        </w:rPr>
      </w:pPr>
      <w:r w:rsidRPr="00DE4CEB">
        <w:rPr>
          <w:rFonts w:ascii="Courier New" w:eastAsia="Times New Roman" w:hAnsi="Courier New" w:cs="Courier New"/>
          <w:color w:val="6A9955"/>
          <w:kern w:val="0"/>
          <w:sz w:val="20"/>
          <w:szCs w:val="20"/>
          <w:lang w:eastAsia="ru-RU"/>
          <w14:ligatures w14:val="none"/>
        </w:rPr>
        <w:t xml:space="preserve">    &lt;!-- Необязательные заголовки --&gt;</w:t>
      </w:r>
    </w:p>
    <w:p w14:paraId="3C3072BC"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ru-RU"/>
          <w14:ligatures w14:val="none"/>
        </w:rPr>
      </w:pPr>
      <w:r w:rsidRPr="00DE4CEB">
        <w:rPr>
          <w:rFonts w:ascii="Courier New" w:eastAsia="Times New Roman" w:hAnsi="Courier New" w:cs="Courier New"/>
          <w:color w:val="808080"/>
          <w:kern w:val="0"/>
          <w:sz w:val="20"/>
          <w:szCs w:val="20"/>
          <w:lang w:eastAsia="ru-RU"/>
          <w14:ligatures w14:val="none"/>
        </w:rPr>
        <w:t xml:space="preserve">  &lt;/</w:t>
      </w:r>
      <w:r w:rsidRPr="00DE4CEB">
        <w:rPr>
          <w:rFonts w:ascii="Courier New" w:eastAsia="Times New Roman" w:hAnsi="Courier New" w:cs="Courier New"/>
          <w:color w:val="569CD6"/>
          <w:kern w:val="0"/>
          <w:sz w:val="20"/>
          <w:szCs w:val="20"/>
          <w:lang w:eastAsia="ru-RU"/>
          <w14:ligatures w14:val="none"/>
        </w:rPr>
        <w:t>soap:Header</w:t>
      </w:r>
      <w:r w:rsidRPr="00DE4CEB">
        <w:rPr>
          <w:rFonts w:ascii="Courier New" w:eastAsia="Times New Roman" w:hAnsi="Courier New" w:cs="Courier New"/>
          <w:color w:val="808080"/>
          <w:kern w:val="0"/>
          <w:sz w:val="20"/>
          <w:szCs w:val="20"/>
          <w:lang w:eastAsia="ru-RU"/>
          <w14:ligatures w14:val="none"/>
        </w:rPr>
        <w:t>&gt;</w:t>
      </w:r>
    </w:p>
    <w:p w14:paraId="29AE7A41"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eastAsia="ru-RU"/>
          <w14:ligatures w14:val="none"/>
        </w:rPr>
        <w:t xml:space="preserve">  </w:t>
      </w:r>
      <w:r w:rsidRPr="00DE4CEB">
        <w:rPr>
          <w:rFonts w:ascii="Courier New" w:eastAsia="Times New Roman" w:hAnsi="Courier New" w:cs="Courier New"/>
          <w:color w:val="808080"/>
          <w:kern w:val="0"/>
          <w:sz w:val="20"/>
          <w:szCs w:val="20"/>
          <w:lang w:val="en-US" w:eastAsia="ru-RU"/>
          <w14:ligatures w14:val="none"/>
        </w:rPr>
        <w:t>&lt;</w:t>
      </w:r>
      <w:r w:rsidRPr="00DE4CEB">
        <w:rPr>
          <w:rFonts w:ascii="Courier New" w:eastAsia="Times New Roman" w:hAnsi="Courier New" w:cs="Courier New"/>
          <w:color w:val="569CD6"/>
          <w:kern w:val="0"/>
          <w:sz w:val="20"/>
          <w:szCs w:val="20"/>
          <w:lang w:val="en-US" w:eastAsia="ru-RU"/>
          <w14:ligatures w14:val="none"/>
        </w:rPr>
        <w:t>soap:Body</w:t>
      </w:r>
      <w:r w:rsidRPr="00DE4CEB">
        <w:rPr>
          <w:rFonts w:ascii="Courier New" w:eastAsia="Times New Roman" w:hAnsi="Courier New" w:cs="Courier New"/>
          <w:color w:val="808080"/>
          <w:kern w:val="0"/>
          <w:sz w:val="20"/>
          <w:szCs w:val="20"/>
          <w:lang w:val="en-US" w:eastAsia="ru-RU"/>
          <w14:ligatures w14:val="none"/>
        </w:rPr>
        <w:t>&gt;</w:t>
      </w:r>
    </w:p>
    <w:p w14:paraId="2594CEEE"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val="en-US" w:eastAsia="ru-RU"/>
          <w14:ligatures w14:val="none"/>
        </w:rPr>
        <w:t xml:space="preserve">    &lt;</w:t>
      </w:r>
      <w:r w:rsidRPr="00DE4CEB">
        <w:rPr>
          <w:rFonts w:ascii="Courier New" w:eastAsia="Times New Roman" w:hAnsi="Courier New" w:cs="Courier New"/>
          <w:color w:val="569CD6"/>
          <w:kern w:val="0"/>
          <w:sz w:val="20"/>
          <w:szCs w:val="20"/>
          <w:lang w:val="en-US" w:eastAsia="ru-RU"/>
          <w14:ligatures w14:val="none"/>
        </w:rPr>
        <w:t>GetStockPrice</w:t>
      </w:r>
      <w:r w:rsidRPr="00DE4CEB">
        <w:rPr>
          <w:rFonts w:ascii="Courier New" w:eastAsia="Times New Roman" w:hAnsi="Courier New" w:cs="Courier New"/>
          <w:color w:val="9CDCFE"/>
          <w:kern w:val="0"/>
          <w:sz w:val="20"/>
          <w:szCs w:val="20"/>
          <w:lang w:val="en-US" w:eastAsia="ru-RU"/>
          <w14:ligatures w14:val="none"/>
        </w:rPr>
        <w:t xml:space="preserve"> xmlns</w:t>
      </w:r>
      <w:r w:rsidRPr="00DE4CEB">
        <w:rPr>
          <w:rFonts w:ascii="Courier New" w:eastAsia="Times New Roman" w:hAnsi="Courier New" w:cs="Courier New"/>
          <w:color w:val="E6E6E6"/>
          <w:kern w:val="0"/>
          <w:sz w:val="20"/>
          <w:szCs w:val="20"/>
          <w:lang w:val="en-US" w:eastAsia="ru-RU"/>
          <w14:ligatures w14:val="none"/>
        </w:rPr>
        <w:t>=</w:t>
      </w:r>
      <w:r w:rsidRPr="00DE4CEB">
        <w:rPr>
          <w:rFonts w:ascii="Courier New" w:eastAsia="Times New Roman" w:hAnsi="Courier New" w:cs="Courier New"/>
          <w:color w:val="CE9178"/>
          <w:kern w:val="0"/>
          <w:sz w:val="20"/>
          <w:szCs w:val="20"/>
          <w:lang w:val="en-US" w:eastAsia="ru-RU"/>
          <w14:ligatures w14:val="none"/>
        </w:rPr>
        <w:t>"http://example.com/stocks"</w:t>
      </w:r>
      <w:r w:rsidRPr="00DE4CEB">
        <w:rPr>
          <w:rFonts w:ascii="Courier New" w:eastAsia="Times New Roman" w:hAnsi="Courier New" w:cs="Courier New"/>
          <w:color w:val="808080"/>
          <w:kern w:val="0"/>
          <w:sz w:val="20"/>
          <w:szCs w:val="20"/>
          <w:lang w:val="en-US" w:eastAsia="ru-RU"/>
          <w14:ligatures w14:val="none"/>
        </w:rPr>
        <w:t>&gt;</w:t>
      </w:r>
    </w:p>
    <w:p w14:paraId="58D34698"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val="en-US" w:eastAsia="ru-RU"/>
          <w14:ligatures w14:val="none"/>
        </w:rPr>
        <w:t xml:space="preserve">      &lt;</w:t>
      </w:r>
      <w:r w:rsidRPr="00DE4CEB">
        <w:rPr>
          <w:rFonts w:ascii="Courier New" w:eastAsia="Times New Roman" w:hAnsi="Courier New" w:cs="Courier New"/>
          <w:color w:val="569CD6"/>
          <w:kern w:val="0"/>
          <w:sz w:val="20"/>
          <w:szCs w:val="20"/>
          <w:lang w:val="en-US" w:eastAsia="ru-RU"/>
          <w14:ligatures w14:val="none"/>
        </w:rPr>
        <w:t>StockName</w:t>
      </w:r>
      <w:r w:rsidRPr="00DE4CEB">
        <w:rPr>
          <w:rFonts w:ascii="Courier New" w:eastAsia="Times New Roman" w:hAnsi="Courier New" w:cs="Courier New"/>
          <w:color w:val="808080"/>
          <w:kern w:val="0"/>
          <w:sz w:val="20"/>
          <w:szCs w:val="20"/>
          <w:lang w:val="en-US" w:eastAsia="ru-RU"/>
          <w14:ligatures w14:val="none"/>
        </w:rPr>
        <w:t>&gt;</w:t>
      </w:r>
      <w:r w:rsidRPr="00DE4CEB">
        <w:rPr>
          <w:rFonts w:ascii="Courier New" w:eastAsia="Times New Roman" w:hAnsi="Courier New" w:cs="Courier New"/>
          <w:color w:val="E6E6E6"/>
          <w:kern w:val="0"/>
          <w:sz w:val="20"/>
          <w:szCs w:val="20"/>
          <w:lang w:val="en-US" w:eastAsia="ru-RU"/>
          <w14:ligatures w14:val="none"/>
        </w:rPr>
        <w:t>IBM</w:t>
      </w:r>
      <w:r w:rsidRPr="00DE4CEB">
        <w:rPr>
          <w:rFonts w:ascii="Courier New" w:eastAsia="Times New Roman" w:hAnsi="Courier New" w:cs="Courier New"/>
          <w:color w:val="808080"/>
          <w:kern w:val="0"/>
          <w:sz w:val="20"/>
          <w:szCs w:val="20"/>
          <w:lang w:val="en-US" w:eastAsia="ru-RU"/>
          <w14:ligatures w14:val="none"/>
        </w:rPr>
        <w:t>&lt;/</w:t>
      </w:r>
      <w:r w:rsidRPr="00DE4CEB">
        <w:rPr>
          <w:rFonts w:ascii="Courier New" w:eastAsia="Times New Roman" w:hAnsi="Courier New" w:cs="Courier New"/>
          <w:color w:val="569CD6"/>
          <w:kern w:val="0"/>
          <w:sz w:val="20"/>
          <w:szCs w:val="20"/>
          <w:lang w:val="en-US" w:eastAsia="ru-RU"/>
          <w14:ligatures w14:val="none"/>
        </w:rPr>
        <w:t>StockName</w:t>
      </w:r>
      <w:r w:rsidRPr="00DE4CEB">
        <w:rPr>
          <w:rFonts w:ascii="Courier New" w:eastAsia="Times New Roman" w:hAnsi="Courier New" w:cs="Courier New"/>
          <w:color w:val="808080"/>
          <w:kern w:val="0"/>
          <w:sz w:val="20"/>
          <w:szCs w:val="20"/>
          <w:lang w:val="en-US" w:eastAsia="ru-RU"/>
          <w14:ligatures w14:val="none"/>
        </w:rPr>
        <w:t>&gt;</w:t>
      </w:r>
    </w:p>
    <w:p w14:paraId="3C480FA8"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val="en-US" w:eastAsia="ru-RU"/>
          <w14:ligatures w14:val="none"/>
        </w:rPr>
        <w:t xml:space="preserve">    &lt;/</w:t>
      </w:r>
      <w:r w:rsidRPr="00DE4CEB">
        <w:rPr>
          <w:rFonts w:ascii="Courier New" w:eastAsia="Times New Roman" w:hAnsi="Courier New" w:cs="Courier New"/>
          <w:color w:val="569CD6"/>
          <w:kern w:val="0"/>
          <w:sz w:val="20"/>
          <w:szCs w:val="20"/>
          <w:lang w:val="en-US" w:eastAsia="ru-RU"/>
          <w14:ligatures w14:val="none"/>
        </w:rPr>
        <w:t>GetStockPrice</w:t>
      </w:r>
      <w:r w:rsidRPr="00DE4CEB">
        <w:rPr>
          <w:rFonts w:ascii="Courier New" w:eastAsia="Times New Roman" w:hAnsi="Courier New" w:cs="Courier New"/>
          <w:color w:val="808080"/>
          <w:kern w:val="0"/>
          <w:sz w:val="20"/>
          <w:szCs w:val="20"/>
          <w:lang w:val="en-US" w:eastAsia="ru-RU"/>
          <w14:ligatures w14:val="none"/>
        </w:rPr>
        <w:t>&gt;</w:t>
      </w:r>
    </w:p>
    <w:p w14:paraId="338D8316"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808080"/>
          <w:kern w:val="0"/>
          <w:sz w:val="20"/>
          <w:szCs w:val="20"/>
          <w:lang w:val="en-US" w:eastAsia="ru-RU"/>
          <w14:ligatures w14:val="none"/>
        </w:rPr>
        <w:t xml:space="preserve">  &lt;/</w:t>
      </w:r>
      <w:r w:rsidRPr="00DE4CEB">
        <w:rPr>
          <w:rFonts w:ascii="Courier New" w:eastAsia="Times New Roman" w:hAnsi="Courier New" w:cs="Courier New"/>
          <w:color w:val="569CD6"/>
          <w:kern w:val="0"/>
          <w:sz w:val="20"/>
          <w:szCs w:val="20"/>
          <w:lang w:val="en-US" w:eastAsia="ru-RU"/>
          <w14:ligatures w14:val="none"/>
        </w:rPr>
        <w:t>soap:Body</w:t>
      </w:r>
      <w:r w:rsidRPr="00DE4CEB">
        <w:rPr>
          <w:rFonts w:ascii="Courier New" w:eastAsia="Times New Roman" w:hAnsi="Courier New" w:cs="Courier New"/>
          <w:color w:val="808080"/>
          <w:kern w:val="0"/>
          <w:sz w:val="20"/>
          <w:szCs w:val="20"/>
          <w:lang w:val="en-US" w:eastAsia="ru-RU"/>
          <w14:ligatures w14:val="none"/>
        </w:rPr>
        <w:t>&gt;</w:t>
      </w:r>
    </w:p>
    <w:p w14:paraId="56EAC1C7"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ru-RU"/>
          <w14:ligatures w14:val="none"/>
        </w:rPr>
      </w:pPr>
      <w:r w:rsidRPr="00DE4CEB">
        <w:rPr>
          <w:rFonts w:ascii="Courier New" w:eastAsia="Times New Roman" w:hAnsi="Courier New" w:cs="Courier New"/>
          <w:color w:val="808080"/>
          <w:kern w:val="0"/>
          <w:sz w:val="20"/>
          <w:szCs w:val="20"/>
          <w:lang w:eastAsia="ru-RU"/>
          <w14:ligatures w14:val="none"/>
        </w:rPr>
        <w:t>&lt;/</w:t>
      </w:r>
      <w:r w:rsidRPr="00DE4CEB">
        <w:rPr>
          <w:rFonts w:ascii="Courier New" w:eastAsia="Times New Roman" w:hAnsi="Courier New" w:cs="Courier New"/>
          <w:color w:val="569CD6"/>
          <w:kern w:val="0"/>
          <w:sz w:val="20"/>
          <w:szCs w:val="20"/>
          <w:lang w:eastAsia="ru-RU"/>
          <w14:ligatures w14:val="none"/>
        </w:rPr>
        <w:t>soap:Envelope</w:t>
      </w:r>
      <w:r w:rsidRPr="00DE4CEB">
        <w:rPr>
          <w:rFonts w:ascii="Courier New" w:eastAsia="Times New Roman" w:hAnsi="Courier New" w:cs="Courier New"/>
          <w:color w:val="808080"/>
          <w:kern w:val="0"/>
          <w:sz w:val="20"/>
          <w:szCs w:val="20"/>
          <w:lang w:eastAsia="ru-RU"/>
          <w14:ligatures w14:val="none"/>
        </w:rPr>
        <w:t>&gt;</w:t>
      </w:r>
    </w:p>
    <w:p w14:paraId="0718C085"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Это может вызвать ответ с данными о цене или ошибку при некорректности.</w:t>
      </w:r>
    </w:p>
    <w:p w14:paraId="5B9E5DE5"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REST: Масштабируемый архитектурный стиль</w:t>
      </w:r>
      <w:r w:rsidRPr="00DE4CEB">
        <w:rPr>
          <w:rFonts w:eastAsia="Times New Roman" w:cs="Times New Roman"/>
          <w:kern w:val="0"/>
          <w:sz w:val="24"/>
          <w:szCs w:val="24"/>
          <w:lang w:eastAsia="ru-RU"/>
          <w14:ligatures w14:val="none"/>
        </w:rPr>
        <w:t xml:space="preserve"> Представленный Роем Филдингом в 2000 году, REST — не протокол, а стиль архитектуры, использующий методы HTTP (GET, POST, PUT, DELETE) для манипуляции ресурсами. Подчёркивает безсостояниевость (каждый запрос содержит всю информацию) и поддерживает форматы вроде JSON, XML или текста. Ключевые ограничения: унифицированный интерфейс, разделение клиент-сервер, кэшируемость, многослойные системы.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простота, масштабируемость через кэширование, широкое принятие в микросервисах.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xml:space="preserve">: отсутствие встроенной безопасности (зависит от HTTPS), возможный переизбыток данных без контроля клиента. Идеален для публичных API и мобильных приложений. </w:t>
      </w:r>
      <w:r w:rsidRPr="00DE4CEB">
        <w:rPr>
          <w:rFonts w:eastAsia="Times New Roman" w:cs="Times New Roman"/>
          <w:b/>
          <w:bCs/>
          <w:kern w:val="0"/>
          <w:sz w:val="24"/>
          <w:szCs w:val="24"/>
          <w:lang w:eastAsia="ru-RU"/>
          <w14:ligatures w14:val="none"/>
        </w:rPr>
        <w:t>Пример</w:t>
      </w:r>
      <w:r w:rsidRPr="00DE4CEB">
        <w:rPr>
          <w:rFonts w:eastAsia="Times New Roman" w:cs="Times New Roman"/>
          <w:kern w:val="0"/>
          <w:sz w:val="24"/>
          <w:szCs w:val="24"/>
          <w:lang w:eastAsia="ru-RU"/>
          <w14:ligatures w14:val="none"/>
        </w:rPr>
        <w:t xml:space="preserve">: GET-запрос к </w:t>
      </w:r>
      <w:hyperlink r:id="rId5" w:tgtFrame="_blank" w:history="1">
        <w:r w:rsidRPr="00DE4CEB">
          <w:rPr>
            <w:rFonts w:eastAsia="Times New Roman" w:cs="Times New Roman"/>
            <w:color w:val="0000FF"/>
            <w:kern w:val="0"/>
            <w:sz w:val="24"/>
            <w:szCs w:val="24"/>
            <w:u w:val="single"/>
            <w:lang w:eastAsia="ru-RU"/>
            <w14:ligatures w14:val="none"/>
          </w:rPr>
          <w:t>https://api.example.com/users/123</w:t>
        </w:r>
      </w:hyperlink>
      <w:r w:rsidRPr="00DE4CEB">
        <w:rPr>
          <w:rFonts w:eastAsia="Times New Roman" w:cs="Times New Roman"/>
          <w:kern w:val="0"/>
          <w:sz w:val="24"/>
          <w:szCs w:val="24"/>
          <w:lang w:eastAsia="ru-RU"/>
          <w14:ligatures w14:val="none"/>
        </w:rPr>
        <w:t xml:space="preserve"> может вернуть JSON: {"id":123, "name":"John Doe"}.</w:t>
      </w:r>
    </w:p>
    <w:p w14:paraId="3A89B1F2" w14:textId="3C8E454C"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JSON-RPC: Лёгкие удалённые вызовы процедур</w:t>
      </w:r>
      <w:r w:rsidRPr="00DE4CEB">
        <w:rPr>
          <w:rFonts w:eastAsia="Times New Roman" w:cs="Times New Roman"/>
          <w:kern w:val="0"/>
          <w:sz w:val="24"/>
          <w:szCs w:val="24"/>
          <w:lang w:eastAsia="ru-RU"/>
          <w14:ligatures w14:val="none"/>
        </w:rPr>
        <w:t xml:space="preserve"> JSON-RPC — безсостояниевый протокол для удалённого вызова методов с использованием JSON, аналог XML-RPC, но легче. Версия 2.0 (2010) включает поле "jsonrpc": "2.0", имя метода, необязательные params (массив или объект) и id для сопоставления ответа. Уведомления без id для односторонней отправки. Ошибки используют коды, например -32600 (Invalid Request).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простота, поддержка пакетных вызовов, независимость от транспорта (HTTP, сокеты).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xml:space="preserve">: ограниченные типы данных, отсутствие встроенной аутентификации, </w:t>
      </w:r>
      <w:r w:rsidRPr="00DE4CEB">
        <w:rPr>
          <w:rFonts w:eastAsia="Times New Roman" w:cs="Times New Roman"/>
          <w:kern w:val="0"/>
          <w:sz w:val="24"/>
          <w:szCs w:val="24"/>
          <w:lang w:eastAsia="ru-RU"/>
          <w14:ligatures w14:val="none"/>
        </w:rPr>
        <w:lastRenderedPageBreak/>
        <w:t xml:space="preserve">меньшая гибкость, чем у REST для ресурс-ориентированных дизайнов. Распространён в блокчейне (Ethereum) и внутренних API. </w:t>
      </w:r>
      <w:r w:rsidRPr="00DE4CEB">
        <w:rPr>
          <w:rFonts w:eastAsia="Times New Roman" w:cs="Times New Roman"/>
          <w:b/>
          <w:bCs/>
          <w:kern w:val="0"/>
          <w:sz w:val="24"/>
          <w:szCs w:val="24"/>
          <w:lang w:eastAsia="ru-RU"/>
          <w14:ligatures w14:val="none"/>
        </w:rPr>
        <w:t>Пример запроса (версия 2.0):</w:t>
      </w:r>
    </w:p>
    <w:p w14:paraId="4F7C7205" w14:textId="77777777" w:rsidR="00DE4CEB" w:rsidRPr="00DE4CEB" w:rsidRDefault="00DE4CEB" w:rsidP="00DE4CEB">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val="en-US" w:eastAsia="ru-RU"/>
          <w14:ligatures w14:val="none"/>
        </w:rPr>
      </w:pPr>
      <w:r w:rsidRPr="00DE4CEB">
        <w:rPr>
          <w:rFonts w:ascii="Courier New" w:eastAsia="Times New Roman" w:hAnsi="Courier New" w:cs="Courier New"/>
          <w:color w:val="E6E6E6"/>
          <w:kern w:val="0"/>
          <w:sz w:val="20"/>
          <w:szCs w:val="20"/>
          <w:lang w:val="en-US" w:eastAsia="ru-RU"/>
          <w14:ligatures w14:val="none"/>
        </w:rPr>
        <w:t>{</w:t>
      </w:r>
      <w:r w:rsidRPr="00DE4CEB">
        <w:rPr>
          <w:rFonts w:ascii="Courier New" w:eastAsia="Times New Roman" w:hAnsi="Courier New" w:cs="Courier New"/>
          <w:color w:val="9CDCFE"/>
          <w:kern w:val="0"/>
          <w:sz w:val="20"/>
          <w:szCs w:val="20"/>
          <w:lang w:val="en-US" w:eastAsia="ru-RU"/>
          <w14:ligatures w14:val="none"/>
        </w:rPr>
        <w:t>"jsonrpc"</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CE9178"/>
          <w:kern w:val="0"/>
          <w:sz w:val="20"/>
          <w:szCs w:val="20"/>
          <w:lang w:val="en-US" w:eastAsia="ru-RU"/>
          <w14:ligatures w14:val="none"/>
        </w:rPr>
        <w:t>"2.0"</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9CDCFE"/>
          <w:kern w:val="0"/>
          <w:sz w:val="20"/>
          <w:szCs w:val="20"/>
          <w:lang w:val="en-US" w:eastAsia="ru-RU"/>
          <w14:ligatures w14:val="none"/>
        </w:rPr>
        <w:t>"method"</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CE9178"/>
          <w:kern w:val="0"/>
          <w:sz w:val="20"/>
          <w:szCs w:val="20"/>
          <w:lang w:val="en-US" w:eastAsia="ru-RU"/>
          <w14:ligatures w14:val="none"/>
        </w:rPr>
        <w:t>"subtract"</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9CDCFE"/>
          <w:kern w:val="0"/>
          <w:sz w:val="20"/>
          <w:szCs w:val="20"/>
          <w:lang w:val="en-US" w:eastAsia="ru-RU"/>
          <w14:ligatures w14:val="none"/>
        </w:rPr>
        <w:t>"params"</w:t>
      </w:r>
      <w:r w:rsidRPr="00DE4CEB">
        <w:rPr>
          <w:rFonts w:ascii="Courier New" w:eastAsia="Times New Roman" w:hAnsi="Courier New" w:cs="Courier New"/>
          <w:color w:val="E6E6E6"/>
          <w:kern w:val="0"/>
          <w:sz w:val="20"/>
          <w:szCs w:val="20"/>
          <w:lang w:val="en-US" w:eastAsia="ru-RU"/>
          <w14:ligatures w14:val="none"/>
        </w:rPr>
        <w:t>: [</w:t>
      </w:r>
      <w:r w:rsidRPr="00DE4CEB">
        <w:rPr>
          <w:rFonts w:ascii="Courier New" w:eastAsia="Times New Roman" w:hAnsi="Courier New" w:cs="Courier New"/>
          <w:color w:val="B5CEA8"/>
          <w:kern w:val="0"/>
          <w:sz w:val="20"/>
          <w:szCs w:val="20"/>
          <w:lang w:val="en-US" w:eastAsia="ru-RU"/>
          <w14:ligatures w14:val="none"/>
        </w:rPr>
        <w:t>42</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B5CEA8"/>
          <w:kern w:val="0"/>
          <w:sz w:val="20"/>
          <w:szCs w:val="20"/>
          <w:lang w:val="en-US" w:eastAsia="ru-RU"/>
          <w14:ligatures w14:val="none"/>
        </w:rPr>
        <w:t>23</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9CDCFE"/>
          <w:kern w:val="0"/>
          <w:sz w:val="20"/>
          <w:szCs w:val="20"/>
          <w:lang w:val="en-US" w:eastAsia="ru-RU"/>
          <w14:ligatures w14:val="none"/>
        </w:rPr>
        <w:t>"id"</w:t>
      </w:r>
      <w:r w:rsidRPr="00DE4CEB">
        <w:rPr>
          <w:rFonts w:ascii="Courier New" w:eastAsia="Times New Roman" w:hAnsi="Courier New" w:cs="Courier New"/>
          <w:color w:val="E6E6E6"/>
          <w:kern w:val="0"/>
          <w:sz w:val="20"/>
          <w:szCs w:val="20"/>
          <w:lang w:val="en-US" w:eastAsia="ru-RU"/>
          <w14:ligatures w14:val="none"/>
        </w:rPr>
        <w:t xml:space="preserve">: </w:t>
      </w:r>
      <w:r w:rsidRPr="00DE4CEB">
        <w:rPr>
          <w:rFonts w:ascii="Courier New" w:eastAsia="Times New Roman" w:hAnsi="Courier New" w:cs="Courier New"/>
          <w:color w:val="B5CEA8"/>
          <w:kern w:val="0"/>
          <w:sz w:val="20"/>
          <w:szCs w:val="20"/>
          <w:lang w:val="en-US" w:eastAsia="ru-RU"/>
          <w14:ligatures w14:val="none"/>
        </w:rPr>
        <w:t>1</w:t>
      </w:r>
      <w:r w:rsidRPr="00DE4CEB">
        <w:rPr>
          <w:rFonts w:ascii="Courier New" w:eastAsia="Times New Roman" w:hAnsi="Courier New" w:cs="Courier New"/>
          <w:color w:val="E6E6E6"/>
          <w:kern w:val="0"/>
          <w:sz w:val="20"/>
          <w:szCs w:val="20"/>
          <w:lang w:val="en-US" w:eastAsia="ru-RU"/>
          <w14:ligatures w14:val="none"/>
        </w:rPr>
        <w:t>}</w:t>
      </w:r>
    </w:p>
    <w:p w14:paraId="742F133D"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Ответ:</w:t>
      </w:r>
      <w:r w:rsidRPr="00DE4CEB">
        <w:rPr>
          <w:rFonts w:eastAsia="Times New Roman" w:cs="Times New Roman"/>
          <w:kern w:val="0"/>
          <w:sz w:val="24"/>
          <w:szCs w:val="24"/>
          <w:lang w:eastAsia="ru-RU"/>
          <w14:ligatures w14:val="none"/>
        </w:rPr>
        <w:t xml:space="preserve"> {"jsonrpc": "2.0", "result": 19, "id": 1}.</w:t>
      </w:r>
    </w:p>
    <w:p w14:paraId="4D01FACE"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XML: Основной формат данных</w:t>
      </w:r>
      <w:r w:rsidRPr="00DE4CEB">
        <w:rPr>
          <w:rFonts w:eastAsia="Times New Roman" w:cs="Times New Roman"/>
          <w:kern w:val="0"/>
          <w:sz w:val="24"/>
          <w:szCs w:val="24"/>
          <w:lang w:eastAsia="ru-RU"/>
          <w14:ligatures w14:val="none"/>
        </w:rPr>
        <w:t xml:space="preserve"> Расширяемый язык разметки (XML) структурирует данные иерархически для передачи, используется в SOAP, WSDL и WDDX. Позволяет кастомные теги для читаемости, но избыточен.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платформенно-независимый, валидация схем.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больший размер, чем у JSON, медленный парсинг.</w:t>
      </w:r>
    </w:p>
    <w:p w14:paraId="5FFF7D30"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WSDL: Описание сервисов для SOAP</w:t>
      </w:r>
      <w:r w:rsidRPr="00DE4CEB">
        <w:rPr>
          <w:rFonts w:eastAsia="Times New Roman" w:cs="Times New Roman"/>
          <w:kern w:val="0"/>
          <w:sz w:val="24"/>
          <w:szCs w:val="24"/>
          <w:lang w:eastAsia="ru-RU"/>
          <w14:ligatures w14:val="none"/>
        </w:rPr>
        <w:t xml:space="preserve"> Web Services Description Language (WSDL) — XML-формат для описания интерфейсов веб-сервисов, включая операции, сообщения и привязки. Версия 2.0 (2007) поддерживает REST, но привязана к SOAP. Структура: types, interface, binding, service.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обнаружение сервисов, генерация кода.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сложность, уязвимость к атакам без защиты. Используется в корпоративных SOAP-установках.</w:t>
      </w:r>
    </w:p>
    <w:p w14:paraId="677277CC"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WDDX: Устаревший формат обмена данными</w:t>
      </w:r>
      <w:r w:rsidRPr="00DE4CEB">
        <w:rPr>
          <w:rFonts w:eastAsia="Times New Roman" w:cs="Times New Roman"/>
          <w:kern w:val="0"/>
          <w:sz w:val="24"/>
          <w:szCs w:val="24"/>
          <w:lang w:eastAsia="ru-RU"/>
          <w14:ligatures w14:val="none"/>
        </w:rPr>
        <w:t xml:space="preserve"> Web Distributed Data eXchange (WDDX), создан в 1998 году, сериализует данные в XML-пакеты для кросс-платформенного обмена. Поддерживает типы: числа, строки, массивы, структуры. Пример пакета включает header и data.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языково-независимый, полезен для устаревших ColdFusion-приложений.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xml:space="preserve">: громоздкий, устарел в пользу JSON; удалён из ядра PHP в 7.4. </w:t>
      </w:r>
      <w:r w:rsidRPr="00DE4CEB">
        <w:rPr>
          <w:rFonts w:eastAsia="Times New Roman" w:cs="Times New Roman"/>
          <w:b/>
          <w:bCs/>
          <w:kern w:val="0"/>
          <w:sz w:val="24"/>
          <w:szCs w:val="24"/>
          <w:lang w:eastAsia="ru-RU"/>
          <w14:ligatures w14:val="none"/>
        </w:rPr>
        <w:t>Текущий статус</w:t>
      </w:r>
      <w:r w:rsidRPr="00DE4CEB">
        <w:rPr>
          <w:rFonts w:eastAsia="Times New Roman" w:cs="Times New Roman"/>
          <w:kern w:val="0"/>
          <w:sz w:val="24"/>
          <w:szCs w:val="24"/>
          <w:lang w:eastAsia="ru-RU"/>
          <w14:ligatures w14:val="none"/>
        </w:rPr>
        <w:t>: поддержка в нишевых инструментах, но не в мейнстриме.</w:t>
      </w:r>
    </w:p>
    <w:p w14:paraId="2D6AB363"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Более широкие современные альтернативы и сравнения</w:t>
      </w:r>
      <w:r w:rsidRPr="00DE4CEB">
        <w:rPr>
          <w:rFonts w:eastAsia="Times New Roman" w:cs="Times New Roman"/>
          <w:kern w:val="0"/>
          <w:sz w:val="24"/>
          <w:szCs w:val="24"/>
          <w:lang w:eastAsia="ru-RU"/>
          <w14:ligatures w14:val="none"/>
        </w:rPr>
        <w:t xml:space="preserve"> gRPC от Google (2015) использует Protocol Buffers через HTTP/2 для высокопроизводительного, двунаправленного стриминга.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эффективный бинарный формат, низкая задержка.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xml:space="preserve">: бинарный — нечитаемый, ограниченная поддержка браузеров. GraphQL (Facebook, 2015) позволяет клиентам запрашивать точные данные через графы, поддерживает подписки для реального времени. </w:t>
      </w:r>
      <w:r w:rsidRPr="00DE4CEB">
        <w:rPr>
          <w:rFonts w:eastAsia="Times New Roman" w:cs="Times New Roman"/>
          <w:b/>
          <w:bCs/>
          <w:kern w:val="0"/>
          <w:sz w:val="24"/>
          <w:szCs w:val="24"/>
          <w:lang w:eastAsia="ru-RU"/>
          <w14:ligatures w14:val="none"/>
        </w:rPr>
        <w:t>Плюсы</w:t>
      </w:r>
      <w:r w:rsidRPr="00DE4CEB">
        <w:rPr>
          <w:rFonts w:eastAsia="Times New Roman" w:cs="Times New Roman"/>
          <w:kern w:val="0"/>
          <w:sz w:val="24"/>
          <w:szCs w:val="24"/>
          <w:lang w:eastAsia="ru-RU"/>
          <w14:ligatures w14:val="none"/>
        </w:rPr>
        <w:t xml:space="preserve">: уменьшает переизбыток данных. </w:t>
      </w:r>
      <w:r w:rsidRPr="00DE4CEB">
        <w:rPr>
          <w:rFonts w:eastAsia="Times New Roman" w:cs="Times New Roman"/>
          <w:b/>
          <w:bCs/>
          <w:kern w:val="0"/>
          <w:sz w:val="24"/>
          <w:szCs w:val="24"/>
          <w:lang w:eastAsia="ru-RU"/>
          <w14:ligatures w14:val="none"/>
        </w:rPr>
        <w:t>Минусы</w:t>
      </w:r>
      <w:r w:rsidRPr="00DE4CEB">
        <w:rPr>
          <w:rFonts w:eastAsia="Times New Roman" w:cs="Times New Roman"/>
          <w:kern w:val="0"/>
          <w:sz w:val="24"/>
          <w:szCs w:val="24"/>
          <w:lang w:eastAsia="ru-RU"/>
          <w14:ligatures w14:val="none"/>
        </w:rPr>
        <w:t>: сложная реализация.</w:t>
      </w:r>
    </w:p>
    <w:p w14:paraId="7170B47A"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Таблица сравнения ключевых протоколов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967"/>
        <w:gridCol w:w="1420"/>
        <w:gridCol w:w="963"/>
        <w:gridCol w:w="1713"/>
        <w:gridCol w:w="1359"/>
        <w:gridCol w:w="1317"/>
      </w:tblGrid>
      <w:tr w:rsidR="00DE4CEB" w:rsidRPr="00DE4CEB" w14:paraId="67A15845" w14:textId="77777777" w:rsidTr="00DE4CEB">
        <w:trPr>
          <w:tblHeader/>
          <w:tblCellSpacing w:w="15" w:type="dxa"/>
        </w:trPr>
        <w:tc>
          <w:tcPr>
            <w:tcW w:w="0" w:type="auto"/>
            <w:vAlign w:val="center"/>
            <w:hideMark/>
          </w:tcPr>
          <w:p w14:paraId="0BC8B285"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Протокол/Формат</w:t>
            </w:r>
          </w:p>
        </w:tc>
        <w:tc>
          <w:tcPr>
            <w:tcW w:w="0" w:type="auto"/>
            <w:vAlign w:val="center"/>
            <w:hideMark/>
          </w:tcPr>
          <w:p w14:paraId="2D755815"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Формат данных</w:t>
            </w:r>
          </w:p>
        </w:tc>
        <w:tc>
          <w:tcPr>
            <w:tcW w:w="0" w:type="auto"/>
            <w:vAlign w:val="center"/>
            <w:hideMark/>
          </w:tcPr>
          <w:p w14:paraId="09C0E736"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Состояние</w:t>
            </w:r>
          </w:p>
        </w:tc>
        <w:tc>
          <w:tcPr>
            <w:tcW w:w="0" w:type="auto"/>
            <w:vAlign w:val="center"/>
            <w:hideMark/>
          </w:tcPr>
          <w:p w14:paraId="4872C454"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Транспорт</w:t>
            </w:r>
          </w:p>
        </w:tc>
        <w:tc>
          <w:tcPr>
            <w:tcW w:w="0" w:type="auto"/>
            <w:vAlign w:val="center"/>
            <w:hideMark/>
          </w:tcPr>
          <w:p w14:paraId="75E2AFD1"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Сильные стороны</w:t>
            </w:r>
          </w:p>
        </w:tc>
        <w:tc>
          <w:tcPr>
            <w:tcW w:w="0" w:type="auto"/>
            <w:vAlign w:val="center"/>
            <w:hideMark/>
          </w:tcPr>
          <w:p w14:paraId="147FD4F2"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Слабые стороны</w:t>
            </w:r>
          </w:p>
        </w:tc>
        <w:tc>
          <w:tcPr>
            <w:tcW w:w="0" w:type="auto"/>
            <w:vAlign w:val="center"/>
            <w:hideMark/>
          </w:tcPr>
          <w:p w14:paraId="071910AC" w14:textId="77777777" w:rsidR="00DE4CEB" w:rsidRPr="00DE4CEB" w:rsidRDefault="00DE4CEB" w:rsidP="00DE4CEB">
            <w:pPr>
              <w:spacing w:after="0"/>
              <w:jc w:val="center"/>
              <w:rPr>
                <w:rFonts w:eastAsia="Times New Roman" w:cs="Times New Roman"/>
                <w:b/>
                <w:bCs/>
                <w:kern w:val="0"/>
                <w:sz w:val="24"/>
                <w:szCs w:val="24"/>
                <w:lang w:eastAsia="ru-RU"/>
                <w14:ligatures w14:val="none"/>
              </w:rPr>
            </w:pPr>
            <w:r w:rsidRPr="00DE4CEB">
              <w:rPr>
                <w:rFonts w:eastAsia="Times New Roman" w:cs="Times New Roman"/>
                <w:b/>
                <w:bCs/>
                <w:kern w:val="0"/>
                <w:sz w:val="24"/>
                <w:szCs w:val="24"/>
                <w:lang w:eastAsia="ru-RU"/>
                <w14:ligatures w14:val="none"/>
              </w:rPr>
              <w:t>Типичные кейсы</w:t>
            </w:r>
          </w:p>
        </w:tc>
      </w:tr>
      <w:tr w:rsidR="00DE4CEB" w:rsidRPr="00DE4CEB" w14:paraId="5EB74B85" w14:textId="77777777" w:rsidTr="00DE4CEB">
        <w:trPr>
          <w:tblCellSpacing w:w="15" w:type="dxa"/>
        </w:trPr>
        <w:tc>
          <w:tcPr>
            <w:tcW w:w="0" w:type="auto"/>
            <w:vAlign w:val="center"/>
            <w:hideMark/>
          </w:tcPr>
          <w:p w14:paraId="33C43B57"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SOAP</w:t>
            </w:r>
          </w:p>
        </w:tc>
        <w:tc>
          <w:tcPr>
            <w:tcW w:w="0" w:type="auto"/>
            <w:vAlign w:val="center"/>
            <w:hideMark/>
          </w:tcPr>
          <w:p w14:paraId="0A253E24"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w:t>
            </w:r>
          </w:p>
        </w:tc>
        <w:tc>
          <w:tcPr>
            <w:tcW w:w="0" w:type="auto"/>
            <w:vAlign w:val="center"/>
            <w:hideMark/>
          </w:tcPr>
          <w:p w14:paraId="51CDB422"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Может быть состояниевым</w:t>
            </w:r>
          </w:p>
        </w:tc>
        <w:tc>
          <w:tcPr>
            <w:tcW w:w="0" w:type="auto"/>
            <w:vAlign w:val="center"/>
            <w:hideMark/>
          </w:tcPr>
          <w:p w14:paraId="5B845A03"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 SMTP и др.</w:t>
            </w:r>
          </w:p>
        </w:tc>
        <w:tc>
          <w:tcPr>
            <w:tcW w:w="0" w:type="auto"/>
            <w:vAlign w:val="center"/>
            <w:hideMark/>
          </w:tcPr>
          <w:p w14:paraId="7F7E00E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Безопасность, обработка ошибок, интеграция WSDL</w:t>
            </w:r>
          </w:p>
        </w:tc>
        <w:tc>
          <w:tcPr>
            <w:tcW w:w="0" w:type="auto"/>
            <w:vAlign w:val="center"/>
            <w:hideMark/>
          </w:tcPr>
          <w:p w14:paraId="1FF47EC6"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Избыточный, медленный</w:t>
            </w:r>
          </w:p>
        </w:tc>
        <w:tc>
          <w:tcPr>
            <w:tcW w:w="0" w:type="auto"/>
            <w:vAlign w:val="center"/>
            <w:hideMark/>
          </w:tcPr>
          <w:p w14:paraId="01B02CE7"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Корпоративные транзакции</w:t>
            </w:r>
          </w:p>
        </w:tc>
      </w:tr>
      <w:tr w:rsidR="00DE4CEB" w:rsidRPr="00DE4CEB" w14:paraId="11CE5628" w14:textId="77777777" w:rsidTr="00DE4CEB">
        <w:trPr>
          <w:tblCellSpacing w:w="15" w:type="dxa"/>
        </w:trPr>
        <w:tc>
          <w:tcPr>
            <w:tcW w:w="0" w:type="auto"/>
            <w:vAlign w:val="center"/>
            <w:hideMark/>
          </w:tcPr>
          <w:p w14:paraId="38D91099"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REST</w:t>
            </w:r>
          </w:p>
        </w:tc>
        <w:tc>
          <w:tcPr>
            <w:tcW w:w="0" w:type="auto"/>
            <w:vAlign w:val="center"/>
            <w:hideMark/>
          </w:tcPr>
          <w:p w14:paraId="7A5EA1E8"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JSON/XML</w:t>
            </w:r>
          </w:p>
        </w:tc>
        <w:tc>
          <w:tcPr>
            <w:tcW w:w="0" w:type="auto"/>
            <w:vAlign w:val="center"/>
            <w:hideMark/>
          </w:tcPr>
          <w:p w14:paraId="1B7649C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Безсостояниевый</w:t>
            </w:r>
          </w:p>
        </w:tc>
        <w:tc>
          <w:tcPr>
            <w:tcW w:w="0" w:type="auto"/>
            <w:vAlign w:val="center"/>
            <w:hideMark/>
          </w:tcPr>
          <w:p w14:paraId="23FA1584"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w:t>
            </w:r>
          </w:p>
        </w:tc>
        <w:tc>
          <w:tcPr>
            <w:tcW w:w="0" w:type="auto"/>
            <w:vAlign w:val="center"/>
            <w:hideMark/>
          </w:tcPr>
          <w:p w14:paraId="4C182CD6"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Масштабируемый, простой</w:t>
            </w:r>
          </w:p>
        </w:tc>
        <w:tc>
          <w:tcPr>
            <w:tcW w:w="0" w:type="auto"/>
            <w:vAlign w:val="center"/>
            <w:hideMark/>
          </w:tcPr>
          <w:p w14:paraId="567CFD4F"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Нет встроенной схемы</w:t>
            </w:r>
          </w:p>
        </w:tc>
        <w:tc>
          <w:tcPr>
            <w:tcW w:w="0" w:type="auto"/>
            <w:vAlign w:val="center"/>
            <w:hideMark/>
          </w:tcPr>
          <w:p w14:paraId="140EAB4D"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Веб-API, микросервисы</w:t>
            </w:r>
          </w:p>
        </w:tc>
      </w:tr>
      <w:tr w:rsidR="00DE4CEB" w:rsidRPr="00DE4CEB" w14:paraId="515389BB" w14:textId="77777777" w:rsidTr="00DE4CEB">
        <w:trPr>
          <w:tblCellSpacing w:w="15" w:type="dxa"/>
        </w:trPr>
        <w:tc>
          <w:tcPr>
            <w:tcW w:w="0" w:type="auto"/>
            <w:vAlign w:val="center"/>
            <w:hideMark/>
          </w:tcPr>
          <w:p w14:paraId="33CC045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JSON-RPC</w:t>
            </w:r>
          </w:p>
        </w:tc>
        <w:tc>
          <w:tcPr>
            <w:tcW w:w="0" w:type="auto"/>
            <w:vAlign w:val="center"/>
            <w:hideMark/>
          </w:tcPr>
          <w:p w14:paraId="34CE4B5A"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w:t>
            </w:r>
          </w:p>
        </w:tc>
        <w:tc>
          <w:tcPr>
            <w:tcW w:w="0" w:type="auto"/>
            <w:vAlign w:val="center"/>
            <w:hideMark/>
          </w:tcPr>
          <w:p w14:paraId="692D90D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Безсостояниевый</w:t>
            </w:r>
          </w:p>
        </w:tc>
        <w:tc>
          <w:tcPr>
            <w:tcW w:w="0" w:type="auto"/>
            <w:vAlign w:val="center"/>
            <w:hideMark/>
          </w:tcPr>
          <w:p w14:paraId="14196298"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 сокеты</w:t>
            </w:r>
          </w:p>
        </w:tc>
        <w:tc>
          <w:tcPr>
            <w:tcW w:w="0" w:type="auto"/>
            <w:vAlign w:val="center"/>
            <w:hideMark/>
          </w:tcPr>
          <w:p w14:paraId="2CE80B54"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Лёгкий RPC, пакетные вызовы</w:t>
            </w:r>
          </w:p>
        </w:tc>
        <w:tc>
          <w:tcPr>
            <w:tcW w:w="0" w:type="auto"/>
            <w:vAlign w:val="center"/>
            <w:hideMark/>
          </w:tcPr>
          <w:p w14:paraId="5D07728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Ограниченные типы, нет аутентификации</w:t>
            </w:r>
          </w:p>
        </w:tc>
        <w:tc>
          <w:tcPr>
            <w:tcW w:w="0" w:type="auto"/>
            <w:vAlign w:val="center"/>
            <w:hideMark/>
          </w:tcPr>
          <w:p w14:paraId="01C0824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Блокчейн, внутренние вызовы</w:t>
            </w:r>
          </w:p>
        </w:tc>
      </w:tr>
      <w:tr w:rsidR="00DE4CEB" w:rsidRPr="00DE4CEB" w14:paraId="46BA61D6" w14:textId="77777777" w:rsidTr="00DE4CEB">
        <w:trPr>
          <w:tblCellSpacing w:w="15" w:type="dxa"/>
        </w:trPr>
        <w:tc>
          <w:tcPr>
            <w:tcW w:w="0" w:type="auto"/>
            <w:vAlign w:val="center"/>
            <w:hideMark/>
          </w:tcPr>
          <w:p w14:paraId="0CD7A8E6"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lastRenderedPageBreak/>
              <w:t>gRPC</w:t>
            </w:r>
          </w:p>
        </w:tc>
        <w:tc>
          <w:tcPr>
            <w:tcW w:w="0" w:type="auto"/>
            <w:vAlign w:val="center"/>
            <w:hideMark/>
          </w:tcPr>
          <w:p w14:paraId="4877417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Бинарный (Protobuf)</w:t>
            </w:r>
          </w:p>
        </w:tc>
        <w:tc>
          <w:tcPr>
            <w:tcW w:w="0" w:type="auto"/>
            <w:vAlign w:val="center"/>
            <w:hideMark/>
          </w:tcPr>
          <w:p w14:paraId="2218529F"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Безсостояниевый</w:t>
            </w:r>
          </w:p>
        </w:tc>
        <w:tc>
          <w:tcPr>
            <w:tcW w:w="0" w:type="auto"/>
            <w:vAlign w:val="center"/>
            <w:hideMark/>
          </w:tcPr>
          <w:p w14:paraId="1A265B0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HTTP/2</w:t>
            </w:r>
          </w:p>
        </w:tc>
        <w:tc>
          <w:tcPr>
            <w:tcW w:w="0" w:type="auto"/>
            <w:vAlign w:val="center"/>
            <w:hideMark/>
          </w:tcPr>
          <w:p w14:paraId="4C7FF1E4"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Высокая производительность, стриминг</w:t>
            </w:r>
          </w:p>
        </w:tc>
        <w:tc>
          <w:tcPr>
            <w:tcW w:w="0" w:type="auto"/>
            <w:vAlign w:val="center"/>
            <w:hideMark/>
          </w:tcPr>
          <w:p w14:paraId="636F8E72"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Требует инструментов</w:t>
            </w:r>
          </w:p>
        </w:tc>
        <w:tc>
          <w:tcPr>
            <w:tcW w:w="0" w:type="auto"/>
            <w:vAlign w:val="center"/>
            <w:hideMark/>
          </w:tcPr>
          <w:p w14:paraId="49B8845B"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Микросервисы, IoT</w:t>
            </w:r>
          </w:p>
        </w:tc>
      </w:tr>
      <w:tr w:rsidR="00DE4CEB" w:rsidRPr="00DE4CEB" w14:paraId="319367B6" w14:textId="77777777" w:rsidTr="00DE4CEB">
        <w:trPr>
          <w:tblCellSpacing w:w="15" w:type="dxa"/>
        </w:trPr>
        <w:tc>
          <w:tcPr>
            <w:tcW w:w="0" w:type="auto"/>
            <w:vAlign w:val="center"/>
            <w:hideMark/>
          </w:tcPr>
          <w:p w14:paraId="77483338"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GraphQL</w:t>
            </w:r>
          </w:p>
        </w:tc>
        <w:tc>
          <w:tcPr>
            <w:tcW w:w="0" w:type="auto"/>
            <w:vAlign w:val="center"/>
            <w:hideMark/>
          </w:tcPr>
          <w:p w14:paraId="27E1DB7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w:t>
            </w:r>
          </w:p>
        </w:tc>
        <w:tc>
          <w:tcPr>
            <w:tcW w:w="0" w:type="auto"/>
            <w:vAlign w:val="center"/>
            <w:hideMark/>
          </w:tcPr>
          <w:p w14:paraId="1EAC2757"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Безсостояниевый</w:t>
            </w:r>
          </w:p>
        </w:tc>
        <w:tc>
          <w:tcPr>
            <w:tcW w:w="0" w:type="auto"/>
            <w:vAlign w:val="center"/>
            <w:hideMark/>
          </w:tcPr>
          <w:p w14:paraId="4D6DEB4D"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w:t>
            </w:r>
          </w:p>
        </w:tc>
        <w:tc>
          <w:tcPr>
            <w:tcW w:w="0" w:type="auto"/>
            <w:vAlign w:val="center"/>
            <w:hideMark/>
          </w:tcPr>
          <w:p w14:paraId="0CE8D9B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Гибкие запросы, реальное время</w:t>
            </w:r>
          </w:p>
        </w:tc>
        <w:tc>
          <w:tcPr>
            <w:tcW w:w="0" w:type="auto"/>
            <w:vAlign w:val="center"/>
            <w:hideMark/>
          </w:tcPr>
          <w:p w14:paraId="5BF60FA9"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Накладные расходы на настройку</w:t>
            </w:r>
          </w:p>
        </w:tc>
        <w:tc>
          <w:tcPr>
            <w:tcW w:w="0" w:type="auto"/>
            <w:vAlign w:val="center"/>
            <w:hideMark/>
          </w:tcPr>
          <w:p w14:paraId="09C3A4BC"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Приложения с фронтендом</w:t>
            </w:r>
          </w:p>
        </w:tc>
      </w:tr>
      <w:tr w:rsidR="00DE4CEB" w:rsidRPr="00DE4CEB" w14:paraId="6CDF1E7F" w14:textId="77777777" w:rsidTr="00DE4CEB">
        <w:trPr>
          <w:tblCellSpacing w:w="15" w:type="dxa"/>
        </w:trPr>
        <w:tc>
          <w:tcPr>
            <w:tcW w:w="0" w:type="auto"/>
            <w:vAlign w:val="center"/>
            <w:hideMark/>
          </w:tcPr>
          <w:p w14:paraId="7EFE796B"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XML (Формат)</w:t>
            </w:r>
          </w:p>
        </w:tc>
        <w:tc>
          <w:tcPr>
            <w:tcW w:w="0" w:type="auto"/>
            <w:vAlign w:val="center"/>
            <w:hideMark/>
          </w:tcPr>
          <w:p w14:paraId="038508F1"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w:t>
            </w:r>
          </w:p>
        </w:tc>
        <w:tc>
          <w:tcPr>
            <w:tcW w:w="0" w:type="auto"/>
            <w:vAlign w:val="center"/>
            <w:hideMark/>
          </w:tcPr>
          <w:p w14:paraId="21B4BDD3"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Н/Д</w:t>
            </w:r>
          </w:p>
        </w:tc>
        <w:tc>
          <w:tcPr>
            <w:tcW w:w="0" w:type="auto"/>
            <w:vAlign w:val="center"/>
            <w:hideMark/>
          </w:tcPr>
          <w:p w14:paraId="2DE30AF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Любой</w:t>
            </w:r>
          </w:p>
        </w:tc>
        <w:tc>
          <w:tcPr>
            <w:tcW w:w="0" w:type="auto"/>
            <w:vAlign w:val="center"/>
            <w:hideMark/>
          </w:tcPr>
          <w:p w14:paraId="7A27775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Структурированный, валидируемый</w:t>
            </w:r>
          </w:p>
        </w:tc>
        <w:tc>
          <w:tcPr>
            <w:tcW w:w="0" w:type="auto"/>
            <w:vAlign w:val="center"/>
            <w:hideMark/>
          </w:tcPr>
          <w:p w14:paraId="571B5DB6"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Громоздкий</w:t>
            </w:r>
          </w:p>
        </w:tc>
        <w:tc>
          <w:tcPr>
            <w:tcW w:w="0" w:type="auto"/>
            <w:vAlign w:val="center"/>
            <w:hideMark/>
          </w:tcPr>
          <w:p w14:paraId="4FE70607"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Обмен устаревшими данными</w:t>
            </w:r>
          </w:p>
        </w:tc>
      </w:tr>
      <w:tr w:rsidR="00DE4CEB" w:rsidRPr="00DE4CEB" w14:paraId="67AD34EB" w14:textId="77777777" w:rsidTr="00DE4CEB">
        <w:trPr>
          <w:tblCellSpacing w:w="15" w:type="dxa"/>
        </w:trPr>
        <w:tc>
          <w:tcPr>
            <w:tcW w:w="0" w:type="auto"/>
            <w:vAlign w:val="center"/>
            <w:hideMark/>
          </w:tcPr>
          <w:p w14:paraId="46A1D3D0"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WSDL</w:t>
            </w:r>
          </w:p>
        </w:tc>
        <w:tc>
          <w:tcPr>
            <w:tcW w:w="0" w:type="auto"/>
            <w:vAlign w:val="center"/>
            <w:hideMark/>
          </w:tcPr>
          <w:p w14:paraId="4947BF22"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w:t>
            </w:r>
          </w:p>
        </w:tc>
        <w:tc>
          <w:tcPr>
            <w:tcW w:w="0" w:type="auto"/>
            <w:vAlign w:val="center"/>
            <w:hideMark/>
          </w:tcPr>
          <w:p w14:paraId="607C5CC2"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Н/Д</w:t>
            </w:r>
          </w:p>
        </w:tc>
        <w:tc>
          <w:tcPr>
            <w:tcW w:w="0" w:type="auto"/>
            <w:vAlign w:val="center"/>
            <w:hideMark/>
          </w:tcPr>
          <w:p w14:paraId="1DFF5D6A"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Н/Д</w:t>
            </w:r>
          </w:p>
        </w:tc>
        <w:tc>
          <w:tcPr>
            <w:tcW w:w="0" w:type="auto"/>
            <w:vAlign w:val="center"/>
            <w:hideMark/>
          </w:tcPr>
          <w:p w14:paraId="68AF644D"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Обнаружение сервисов</w:t>
            </w:r>
          </w:p>
        </w:tc>
        <w:tc>
          <w:tcPr>
            <w:tcW w:w="0" w:type="auto"/>
            <w:vAlign w:val="center"/>
            <w:hideMark/>
          </w:tcPr>
          <w:p w14:paraId="2BA7D20A"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Сложный, ориентирован на SOAP</w:t>
            </w:r>
          </w:p>
        </w:tc>
        <w:tc>
          <w:tcPr>
            <w:tcW w:w="0" w:type="auto"/>
            <w:vAlign w:val="center"/>
            <w:hideMark/>
          </w:tcPr>
          <w:p w14:paraId="60318AF8"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Описание SOAP-сервисов</w:t>
            </w:r>
          </w:p>
        </w:tc>
      </w:tr>
      <w:tr w:rsidR="00DE4CEB" w:rsidRPr="00DE4CEB" w14:paraId="2C07D1F3" w14:textId="77777777" w:rsidTr="00DE4CEB">
        <w:trPr>
          <w:tblCellSpacing w:w="15" w:type="dxa"/>
        </w:trPr>
        <w:tc>
          <w:tcPr>
            <w:tcW w:w="0" w:type="auto"/>
            <w:vAlign w:val="center"/>
            <w:hideMark/>
          </w:tcPr>
          <w:p w14:paraId="7AD3F9A1"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WDDX</w:t>
            </w:r>
          </w:p>
        </w:tc>
        <w:tc>
          <w:tcPr>
            <w:tcW w:w="0" w:type="auto"/>
            <w:vAlign w:val="center"/>
            <w:hideMark/>
          </w:tcPr>
          <w:p w14:paraId="311C82A9"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w:t>
            </w:r>
          </w:p>
        </w:tc>
        <w:tc>
          <w:tcPr>
            <w:tcW w:w="0" w:type="auto"/>
            <w:vAlign w:val="center"/>
            <w:hideMark/>
          </w:tcPr>
          <w:p w14:paraId="2DCD59E6"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Н/Д</w:t>
            </w:r>
          </w:p>
        </w:tc>
        <w:tc>
          <w:tcPr>
            <w:tcW w:w="0" w:type="auto"/>
            <w:vAlign w:val="center"/>
            <w:hideMark/>
          </w:tcPr>
          <w:p w14:paraId="39FE917D"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HTTP/FTP</w:t>
            </w:r>
          </w:p>
        </w:tc>
        <w:tc>
          <w:tcPr>
            <w:tcW w:w="0" w:type="auto"/>
            <w:vAlign w:val="center"/>
            <w:hideMark/>
          </w:tcPr>
          <w:p w14:paraId="76204671"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Кросс-платформенный</w:t>
            </w:r>
          </w:p>
        </w:tc>
        <w:tc>
          <w:tcPr>
            <w:tcW w:w="0" w:type="auto"/>
            <w:vAlign w:val="center"/>
            <w:hideMark/>
          </w:tcPr>
          <w:p w14:paraId="4F3B5BAE"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Устаревший, избыточный</w:t>
            </w:r>
          </w:p>
        </w:tc>
        <w:tc>
          <w:tcPr>
            <w:tcW w:w="0" w:type="auto"/>
            <w:vAlign w:val="center"/>
            <w:hideMark/>
          </w:tcPr>
          <w:p w14:paraId="3338FB27" w14:textId="77777777" w:rsidR="00DE4CEB" w:rsidRPr="00DE4CEB" w:rsidRDefault="00DE4CEB" w:rsidP="00DE4CEB">
            <w:pPr>
              <w:spacing w:after="0"/>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Устаревшая сериализация</w:t>
            </w:r>
          </w:p>
        </w:tc>
      </w:tr>
    </w:tbl>
    <w:p w14:paraId="430E1565"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Эволюция и соображения</w:t>
      </w:r>
      <w:r w:rsidRPr="00DE4CEB">
        <w:rPr>
          <w:rFonts w:eastAsia="Times New Roman" w:cs="Times New Roman"/>
          <w:kern w:val="0"/>
          <w:sz w:val="24"/>
          <w:szCs w:val="24"/>
          <w:lang w:eastAsia="ru-RU"/>
          <w14:ligatures w14:val="none"/>
        </w:rPr>
        <w:t xml:space="preserve"> Сдвиг от SOAP/XML к REST/JSON отражает потребность в скорости и простоте, но споры возникают в производительностно-критичных областях, где лидирует gRPC. Безопасность остаётся предметом дебатов: встроенные механизмы SOAP против внешних мер REST. Для спорных тем, таких как выбор протокола в регулируемых секторах, контраргументы подчёркивают надёжность SOAP над гибкостью REST. Будущие тенденции могут включать гибриды, например REST с наложением GraphQL.</w:t>
      </w:r>
    </w:p>
    <w:p w14:paraId="0E578D6D" w14:textId="77777777" w:rsidR="00DE4CEB" w:rsidRPr="00DE4CEB" w:rsidRDefault="00DE4CEB" w:rsidP="00DE4CEB">
      <w:p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b/>
          <w:bCs/>
          <w:kern w:val="0"/>
          <w:sz w:val="24"/>
          <w:szCs w:val="24"/>
          <w:lang w:eastAsia="ru-RU"/>
          <w14:ligatures w14:val="none"/>
        </w:rPr>
        <w:t>Ключевые источники</w:t>
      </w:r>
    </w:p>
    <w:p w14:paraId="4FD937E2"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SOAP, REST, and gRPC: A Developer-Friendly Guide of API Protocols</w:t>
      </w:r>
    </w:p>
    <w:p w14:paraId="5B41B629"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An architect's guide to APIs: SOAP, REST, GraphQL, and gRPC</w:t>
      </w:r>
    </w:p>
    <w:p w14:paraId="02F633AA"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“Protocol Wars: Webhooks vs REST vs SOAP vs GraphQL vs gRPC ...</w:t>
      </w:r>
    </w:p>
    <w:p w14:paraId="3A28C265"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The Grand Comparison of 4 Major API Architecture Styles: RPC ...</w:t>
      </w:r>
    </w:p>
    <w:p w14:paraId="48B67B07"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Comparing SOAP vs REST vs GraphQL vs RPC API</w:t>
      </w:r>
    </w:p>
    <w:p w14:paraId="1B9AA053"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API Protocols 101: A Guide to Choose the Right One</w:t>
      </w:r>
    </w:p>
    <w:p w14:paraId="16054F65"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JSON-RPC - Wikipedia</w:t>
      </w:r>
    </w:p>
    <w:p w14:paraId="64C394DB"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DE4CEB">
        <w:rPr>
          <w:rFonts w:eastAsia="Times New Roman" w:cs="Times New Roman"/>
          <w:kern w:val="0"/>
          <w:sz w:val="24"/>
          <w:szCs w:val="24"/>
          <w:lang w:val="en-US" w:eastAsia="ru-RU"/>
          <w14:ligatures w14:val="none"/>
        </w:rPr>
        <w:t>What is JSON-RPC? Meaning, Examples, Comparison - Wallarm</w:t>
      </w:r>
    </w:p>
    <w:p w14:paraId="3E32741E"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JSON-RPC 2.0 Specification</w:t>
      </w:r>
    </w:p>
    <w:p w14:paraId="309D8595"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Web Services Description Language - Wikipedia</w:t>
      </w:r>
    </w:p>
    <w:p w14:paraId="261A6113"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XML WSDL - W3Schools</w:t>
      </w:r>
    </w:p>
    <w:p w14:paraId="5D0AD55D" w14:textId="77777777" w:rsidR="00DE4CEB" w:rsidRPr="00DE4CEB" w:rsidRDefault="00DE4CEB" w:rsidP="00DE4CEB">
      <w:pPr>
        <w:numPr>
          <w:ilvl w:val="0"/>
          <w:numId w:val="4"/>
        </w:numPr>
        <w:spacing w:before="100" w:beforeAutospacing="1" w:after="100" w:afterAutospacing="1"/>
        <w:rPr>
          <w:rFonts w:eastAsia="Times New Roman" w:cs="Times New Roman"/>
          <w:kern w:val="0"/>
          <w:sz w:val="24"/>
          <w:szCs w:val="24"/>
          <w:lang w:eastAsia="ru-RU"/>
          <w14:ligatures w14:val="none"/>
        </w:rPr>
      </w:pPr>
      <w:r w:rsidRPr="00DE4CEB">
        <w:rPr>
          <w:rFonts w:eastAsia="Times New Roman" w:cs="Times New Roman"/>
          <w:kern w:val="0"/>
          <w:sz w:val="24"/>
          <w:szCs w:val="24"/>
          <w:lang w:eastAsia="ru-RU"/>
          <w14:ligatures w14:val="none"/>
        </w:rPr>
        <w:t>WDDX - Wikipedia</w:t>
      </w:r>
    </w:p>
    <w:p w14:paraId="26C29B66" w14:textId="77777777" w:rsidR="00F12C76" w:rsidRPr="00DE4CEB" w:rsidRDefault="00F12C76" w:rsidP="00DE4CEB"/>
    <w:sectPr w:rsidR="00F12C76" w:rsidRPr="00DE4CE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0975"/>
    <w:multiLevelType w:val="multilevel"/>
    <w:tmpl w:val="DCD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F2AC5"/>
    <w:multiLevelType w:val="multilevel"/>
    <w:tmpl w:val="E94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F5E82"/>
    <w:multiLevelType w:val="multilevel"/>
    <w:tmpl w:val="ED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B569D"/>
    <w:multiLevelType w:val="multilevel"/>
    <w:tmpl w:val="00E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16779">
    <w:abstractNumId w:val="0"/>
  </w:num>
  <w:num w:numId="2" w16cid:durableId="727147110">
    <w:abstractNumId w:val="1"/>
  </w:num>
  <w:num w:numId="3" w16cid:durableId="517350667">
    <w:abstractNumId w:val="2"/>
  </w:num>
  <w:num w:numId="4" w16cid:durableId="743799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60"/>
    <w:rsid w:val="000B04DD"/>
    <w:rsid w:val="003B106A"/>
    <w:rsid w:val="00547CB3"/>
    <w:rsid w:val="00581634"/>
    <w:rsid w:val="00694096"/>
    <w:rsid w:val="006C0B77"/>
    <w:rsid w:val="008242FF"/>
    <w:rsid w:val="00870751"/>
    <w:rsid w:val="00922C48"/>
    <w:rsid w:val="00B915B7"/>
    <w:rsid w:val="00D05F60"/>
    <w:rsid w:val="00DE4CEB"/>
    <w:rsid w:val="00E960D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B294"/>
  <w15:chartTrackingRefBased/>
  <w15:docId w15:val="{BA384CF7-5CD8-4608-A169-253CC910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05F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05F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05F6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05F6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05F6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05F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05F6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05F6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05F6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5F6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05F6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05F6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05F6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05F6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05F6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05F6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05F6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05F60"/>
    <w:rPr>
      <w:rFonts w:eastAsiaTheme="majorEastAsia" w:cstheme="majorBidi"/>
      <w:color w:val="272727" w:themeColor="text1" w:themeTint="D8"/>
      <w:sz w:val="28"/>
    </w:rPr>
  </w:style>
  <w:style w:type="paragraph" w:styleId="a3">
    <w:name w:val="Title"/>
    <w:basedOn w:val="a"/>
    <w:next w:val="a"/>
    <w:link w:val="a4"/>
    <w:uiPriority w:val="10"/>
    <w:qFormat/>
    <w:rsid w:val="00D05F6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5F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F6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05F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5F60"/>
    <w:pPr>
      <w:spacing w:before="160"/>
      <w:jc w:val="center"/>
    </w:pPr>
    <w:rPr>
      <w:i/>
      <w:iCs/>
      <w:color w:val="404040" w:themeColor="text1" w:themeTint="BF"/>
    </w:rPr>
  </w:style>
  <w:style w:type="character" w:customStyle="1" w:styleId="22">
    <w:name w:val="Цитата 2 Знак"/>
    <w:basedOn w:val="a0"/>
    <w:link w:val="21"/>
    <w:uiPriority w:val="29"/>
    <w:rsid w:val="00D05F60"/>
    <w:rPr>
      <w:rFonts w:ascii="Times New Roman" w:hAnsi="Times New Roman"/>
      <w:i/>
      <w:iCs/>
      <w:color w:val="404040" w:themeColor="text1" w:themeTint="BF"/>
      <w:sz w:val="28"/>
    </w:rPr>
  </w:style>
  <w:style w:type="paragraph" w:styleId="a7">
    <w:name w:val="List Paragraph"/>
    <w:basedOn w:val="a"/>
    <w:uiPriority w:val="34"/>
    <w:qFormat/>
    <w:rsid w:val="00D05F60"/>
    <w:pPr>
      <w:ind w:left="720"/>
      <w:contextualSpacing/>
    </w:pPr>
  </w:style>
  <w:style w:type="character" w:styleId="a8">
    <w:name w:val="Intense Emphasis"/>
    <w:basedOn w:val="a0"/>
    <w:uiPriority w:val="21"/>
    <w:qFormat/>
    <w:rsid w:val="00D05F60"/>
    <w:rPr>
      <w:i/>
      <w:iCs/>
      <w:color w:val="2E74B5" w:themeColor="accent1" w:themeShade="BF"/>
    </w:rPr>
  </w:style>
  <w:style w:type="paragraph" w:styleId="a9">
    <w:name w:val="Intense Quote"/>
    <w:basedOn w:val="a"/>
    <w:next w:val="a"/>
    <w:link w:val="aa"/>
    <w:uiPriority w:val="30"/>
    <w:qFormat/>
    <w:rsid w:val="00D05F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05F60"/>
    <w:rPr>
      <w:rFonts w:ascii="Times New Roman" w:hAnsi="Times New Roman"/>
      <w:i/>
      <w:iCs/>
      <w:color w:val="2E74B5" w:themeColor="accent1" w:themeShade="BF"/>
      <w:sz w:val="28"/>
    </w:rPr>
  </w:style>
  <w:style w:type="character" w:styleId="ab">
    <w:name w:val="Intense Reference"/>
    <w:basedOn w:val="a0"/>
    <w:uiPriority w:val="32"/>
    <w:qFormat/>
    <w:rsid w:val="00D05F60"/>
    <w:rPr>
      <w:b/>
      <w:bCs/>
      <w:smallCaps/>
      <w:color w:val="2E74B5" w:themeColor="accent1" w:themeShade="BF"/>
      <w:spacing w:val="5"/>
    </w:rPr>
  </w:style>
  <w:style w:type="character" w:styleId="ac">
    <w:name w:val="Hyperlink"/>
    <w:basedOn w:val="a0"/>
    <w:uiPriority w:val="99"/>
    <w:unhideWhenUsed/>
    <w:rsid w:val="000B04DD"/>
    <w:rPr>
      <w:color w:val="0563C1" w:themeColor="hyperlink"/>
      <w:u w:val="single"/>
    </w:rPr>
  </w:style>
  <w:style w:type="character" w:styleId="ad">
    <w:name w:val="Unresolved Mention"/>
    <w:basedOn w:val="a0"/>
    <w:uiPriority w:val="99"/>
    <w:semiHidden/>
    <w:unhideWhenUsed/>
    <w:rsid w:val="000B0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example.com/users/123"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1515</Words>
  <Characters>8641</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Велютич</dc:creator>
  <cp:keywords/>
  <dc:description/>
  <cp:lastModifiedBy>Дмитрий Велютич</cp:lastModifiedBy>
  <cp:revision>3</cp:revision>
  <dcterms:created xsi:type="dcterms:W3CDTF">2025-11-06T08:35:00Z</dcterms:created>
  <dcterms:modified xsi:type="dcterms:W3CDTF">2025-11-06T08:55:00Z</dcterms:modified>
</cp:coreProperties>
</file>