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  <w:jc w:val="center"/>
      </w:pPr>
      <w:r>
        <w:rPr>
          <w:b/>
          <w:sz w:val="28"/>
        </w:rPr>
        <w:t>Лабораторная работа № 1</w:t>
      </w:r>
    </w:p>
    <w:p>
      <w:pPr>
        <w:spacing w:after="240" w:before="0"/>
        <w:jc w:val="center"/>
      </w:pPr>
      <w:r>
        <w:rPr>
          <w:b/>
          <w:sz w:val="26"/>
        </w:rPr>
        <w:t>Вид экономической деятельности создаваемой организации</w:t>
      </w:r>
    </w:p>
    <w:p>
      <w:pPr>
        <w:spacing w:after="120" w:before="0"/>
        <w:jc w:val="both"/>
      </w:pPr>
      <w:r>
        <w:rPr>
          <w:b w:val="0"/>
          <w:sz w:val="24"/>
        </w:rPr>
        <w:t>Организация: Общество с ограниченной ответственностью «Тёплый мякиш» (ООО «Тёплый мякиш»).</w:t>
      </w:r>
    </w:p>
    <w:p>
      <w:pPr>
        <w:spacing w:after="200" w:before="0"/>
        <w:ind w:firstLine="709"/>
        <w:jc w:val="both"/>
      </w:pPr>
      <w:r>
        <w:rPr>
          <w:b w:val="0"/>
          <w:sz w:val="24"/>
        </w:rPr>
        <w:t>Коды видов деятельности определены в соответствии с общегосударственным классификатором Республики Беларусь ОКРБ 005-2011 «Виды экономической деятельности», утвержденным постановлением Государственного комитета по стандартизации Республики Беларусь от 5 декабря 2011 г. № 85.</w:t>
      </w:r>
    </w:p>
    <w:p>
      <w:pPr>
        <w:spacing w:after="120" w:before="0"/>
        <w:jc w:val="left"/>
      </w:pPr>
      <w:r>
        <w:rPr>
          <w:b/>
          <w:sz w:val="24"/>
        </w:rPr>
        <w:t>Этап 1. Перечень видов деятельности, осуществляемых организацией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020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2"/>
              </w:rPr>
              <w:t>Секция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2"/>
              </w:rPr>
              <w:t>Подкласс</w:t>
            </w:r>
          </w:p>
        </w:tc>
        <w:tc>
          <w:tcPr>
            <w:tcW w:type="dxa" w:w="5386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2"/>
              </w:rPr>
              <w:t>Вид деятельности</w:t>
            </w:r>
          </w:p>
        </w:tc>
        <w:tc>
          <w:tcPr>
            <w:tcW w:type="dxa" w:w="1417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2"/>
              </w:rPr>
              <w:t>Удельный вес, %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2"/>
              </w:rPr>
              <w:t>G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2"/>
              </w:rPr>
              <w:t>47241</w:t>
            </w:r>
          </w:p>
        </w:tc>
        <w:tc>
          <w:tcPr>
            <w:tcW w:type="dxa" w:w="5386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22"/>
              </w:rPr>
              <w:t>Розничная торговля хлебобулочными, сухарными и бараночными изделиями в специализированных магазинах</w:t>
            </w:r>
          </w:p>
        </w:tc>
        <w:tc>
          <w:tcPr>
            <w:tcW w:type="dxa" w:w="1417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2"/>
              </w:rPr>
              <w:t>45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2"/>
              </w:rPr>
              <w:t>G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2"/>
              </w:rPr>
              <w:t>47242</w:t>
            </w:r>
          </w:p>
        </w:tc>
        <w:tc>
          <w:tcPr>
            <w:tcW w:type="dxa" w:w="5386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22"/>
              </w:rPr>
              <w:t>Розничная торговля сахаристыми кондитерскими изделиями в специализированных магазинах</w:t>
            </w:r>
          </w:p>
        </w:tc>
        <w:tc>
          <w:tcPr>
            <w:tcW w:type="dxa" w:w="1417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2"/>
              </w:rPr>
              <w:t>10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2"/>
              </w:rPr>
              <w:t>C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2"/>
              </w:rPr>
              <w:t>10710</w:t>
            </w:r>
          </w:p>
        </w:tc>
        <w:tc>
          <w:tcPr>
            <w:tcW w:type="dxa" w:w="5386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22"/>
              </w:rPr>
              <w:t>Производство хлебобулочных изделий и мучных кондитерских изделий недлительного хранения</w:t>
            </w:r>
          </w:p>
        </w:tc>
        <w:tc>
          <w:tcPr>
            <w:tcW w:type="dxa" w:w="1417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2"/>
              </w:rPr>
              <w:t>30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2"/>
              </w:rPr>
              <w:t>C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2"/>
              </w:rPr>
              <w:t>10720</w:t>
            </w:r>
          </w:p>
        </w:tc>
        <w:tc>
          <w:tcPr>
            <w:tcW w:type="dxa" w:w="5386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22"/>
              </w:rPr>
              <w:t>Производство сухарных, бараночных и мучных кондитерских изделий, предназначенных для длительного хранения</w:t>
            </w:r>
          </w:p>
        </w:tc>
        <w:tc>
          <w:tcPr>
            <w:tcW w:type="dxa" w:w="1417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2"/>
              </w:rPr>
              <w:t>5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2"/>
              </w:rPr>
              <w:t>I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2"/>
              </w:rPr>
              <w:t>56100</w:t>
            </w:r>
          </w:p>
        </w:tc>
        <w:tc>
          <w:tcPr>
            <w:tcW w:type="dxa" w:w="5386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22"/>
              </w:rPr>
              <w:t>Деятельность ресторанов</w:t>
            </w:r>
          </w:p>
        </w:tc>
        <w:tc>
          <w:tcPr>
            <w:tcW w:type="dxa" w:w="1417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2"/>
              </w:rPr>
              <w:t>10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5386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22"/>
              </w:rPr>
              <w:t>Всего</w:t>
            </w:r>
          </w:p>
        </w:tc>
        <w:tc>
          <w:tcPr>
            <w:tcW w:type="dxa" w:w="1417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2"/>
              </w:rPr>
              <w:t>100</w:t>
            </w:r>
          </w:p>
        </w:tc>
      </w:tr>
    </w:tbl>
    <w:p>
      <w:pPr>
        <w:spacing w:after="160" w:before="0"/>
        <w:jc w:val="both"/>
      </w:pPr>
      <w:r>
        <w:rPr>
          <w:b w:val="0"/>
          <w:sz w:val="24"/>
        </w:rPr>
      </w:r>
    </w:p>
    <w:p>
      <w:pPr>
        <w:spacing w:after="200" w:before="0"/>
        <w:ind w:firstLine="709"/>
        <w:jc w:val="both"/>
      </w:pPr>
      <w:r>
        <w:rPr>
          <w:b w:val="0"/>
          <w:sz w:val="24"/>
        </w:rPr>
        <w:t>Поскольку организация является многопрофильной, основной вид деятельности определен нисходящим методом (глава 4, пункт 4.4 ОКРБ 005-2011): последовательно, начиная с секции и заканчивая подклассом, выбирается группировка с наибольшим удельным весом.</w:t>
      </w:r>
    </w:p>
    <w:p>
      <w:pPr>
        <w:spacing w:after="120" w:before="0"/>
        <w:jc w:val="left"/>
      </w:pPr>
      <w:r>
        <w:rPr>
          <w:b/>
          <w:sz w:val="24"/>
        </w:rPr>
        <w:t>Этап 2. Определение секции</w:t>
      </w:r>
    </w:p>
    <w:p>
      <w:pPr>
        <w:spacing w:after="40" w:before="0"/>
        <w:ind w:firstLine="425"/>
        <w:jc w:val="both"/>
      </w:pPr>
      <w:r>
        <w:rPr>
          <w:b w:val="0"/>
          <w:sz w:val="24"/>
        </w:rPr>
        <w:t>Секция G «Оптовая и розничная торговля; ремонт автомобилей и мотоциклов» – 55 %;</w:t>
      </w:r>
    </w:p>
    <w:p>
      <w:pPr>
        <w:spacing w:after="40" w:before="0"/>
        <w:ind w:firstLine="425"/>
        <w:jc w:val="both"/>
      </w:pPr>
      <w:r>
        <w:rPr>
          <w:b w:val="0"/>
          <w:sz w:val="24"/>
        </w:rPr>
        <w:t>Секция C «Обрабатывающая промышленность» – 35 %;</w:t>
      </w:r>
    </w:p>
    <w:p>
      <w:pPr>
        <w:spacing w:after="40" w:before="0"/>
        <w:ind w:firstLine="425"/>
        <w:jc w:val="both"/>
      </w:pPr>
      <w:r>
        <w:rPr>
          <w:b w:val="0"/>
          <w:sz w:val="24"/>
        </w:rPr>
        <w:t>Секция I «Услуги по временному проживанию и питанию» – 10 %.</w:t>
      </w:r>
    </w:p>
    <w:p>
      <w:pPr>
        <w:spacing w:after="200" w:before="0"/>
        <w:ind w:firstLine="425"/>
        <w:jc w:val="both"/>
      </w:pPr>
      <w:r>
        <w:rPr>
          <w:b w:val="0"/>
          <w:sz w:val="24"/>
        </w:rPr>
        <w:t>Наибольший удельный вес – 55 % – приходится на секцию G.</w:t>
      </w:r>
    </w:p>
    <w:p>
      <w:pPr>
        <w:spacing w:after="120" w:before="0"/>
        <w:jc w:val="left"/>
      </w:pPr>
      <w:r>
        <w:rPr>
          <w:b/>
          <w:sz w:val="24"/>
        </w:rPr>
        <w:t>Этап 3. Определение раздела в секции G</w:t>
      </w:r>
    </w:p>
    <w:p>
      <w:pPr>
        <w:spacing w:after="40" w:before="0"/>
        <w:ind w:firstLine="425"/>
        <w:jc w:val="both"/>
      </w:pPr>
      <w:r>
        <w:rPr>
          <w:b w:val="0"/>
          <w:sz w:val="24"/>
        </w:rPr>
        <w:t>Раздел 47 «Розничная торговля, за исключением торговли автомобилями и мотоциклами» – 55 %.</w:t>
      </w:r>
    </w:p>
    <w:p>
      <w:pPr>
        <w:spacing w:after="200" w:before="0"/>
        <w:ind w:firstLine="425"/>
        <w:jc w:val="both"/>
      </w:pPr>
      <w:r>
        <w:rPr>
          <w:b w:val="0"/>
          <w:sz w:val="24"/>
        </w:rPr>
        <w:t>В секции G данные имеются только по разделу 47.</w:t>
      </w:r>
    </w:p>
    <w:p>
      <w:pPr>
        <w:spacing w:after="120" w:before="0"/>
        <w:jc w:val="left"/>
      </w:pPr>
      <w:r>
        <w:rPr>
          <w:b/>
          <w:sz w:val="24"/>
        </w:rPr>
        <w:t>Этап 4. Определение группы в разделе 47</w:t>
      </w:r>
    </w:p>
    <w:p>
      <w:pPr>
        <w:spacing w:after="40" w:before="0"/>
        <w:ind w:firstLine="425"/>
        <w:jc w:val="both"/>
      </w:pPr>
      <w:r>
        <w:rPr>
          <w:b w:val="0"/>
          <w:sz w:val="24"/>
        </w:rPr>
        <w:t>Группа 472 «Розничная торговля продуктами питания, напитками и табачными изделиями в специализированных магазинах» – 55 %.</w:t>
      </w:r>
    </w:p>
    <w:p>
      <w:pPr>
        <w:spacing w:after="200" w:before="0"/>
        <w:ind w:firstLine="425"/>
        <w:jc w:val="both"/>
      </w:pPr>
      <w:r>
        <w:rPr>
          <w:b w:val="0"/>
          <w:sz w:val="24"/>
        </w:rPr>
        <w:t>В разделе 47 данные имеются только по группе 472.</w:t>
      </w:r>
    </w:p>
    <w:p>
      <w:pPr>
        <w:spacing w:after="120" w:before="0"/>
        <w:jc w:val="left"/>
      </w:pPr>
      <w:r>
        <w:rPr>
          <w:b/>
          <w:sz w:val="24"/>
        </w:rPr>
        <w:t>Этап 5. Определение класса в группе 472</w:t>
      </w:r>
    </w:p>
    <w:p>
      <w:pPr>
        <w:spacing w:after="40" w:before="0"/>
        <w:ind w:firstLine="425"/>
        <w:jc w:val="both"/>
      </w:pPr>
      <w:r>
        <w:rPr>
          <w:b w:val="0"/>
          <w:sz w:val="24"/>
        </w:rPr>
        <w:t>Класс 4724 «Розничная торговля хлебобулочными, мучными и сахаристыми кондитерскими изделиями в специализированных магазинах» – 55 %.</w:t>
      </w:r>
    </w:p>
    <w:p>
      <w:pPr>
        <w:spacing w:after="200" w:before="0"/>
        <w:ind w:firstLine="425"/>
        <w:jc w:val="both"/>
      </w:pPr>
      <w:r>
        <w:rPr>
          <w:b w:val="0"/>
          <w:sz w:val="24"/>
        </w:rPr>
        <w:t>В группе 472 данные имеются только по классу 4724.</w:t>
      </w:r>
    </w:p>
    <w:p>
      <w:pPr>
        <w:spacing w:after="120" w:before="0"/>
        <w:jc w:val="left"/>
      </w:pPr>
      <w:r>
        <w:rPr>
          <w:b/>
          <w:sz w:val="24"/>
        </w:rPr>
        <w:t>Этап 6. Определение подкласса в классе 4724</w:t>
      </w:r>
    </w:p>
    <w:p>
      <w:pPr>
        <w:spacing w:after="40" w:before="0"/>
        <w:ind w:firstLine="425"/>
        <w:jc w:val="both"/>
      </w:pPr>
      <w:r>
        <w:rPr>
          <w:b w:val="0"/>
          <w:sz w:val="24"/>
        </w:rPr>
        <w:t>Подкласс 47241 «Розничная торговля хлебобулочными, сухарными и бараночными изделиями в специализированных магазинах» – 45 %;</w:t>
      </w:r>
    </w:p>
    <w:p>
      <w:pPr>
        <w:spacing w:after="40" w:before="0"/>
        <w:ind w:firstLine="425"/>
        <w:jc w:val="both"/>
      </w:pPr>
      <w:r>
        <w:rPr>
          <w:b w:val="0"/>
          <w:sz w:val="24"/>
        </w:rPr>
        <w:t>Подкласс 47242 «Розничная торговля сахаристыми кондитерскими изделиями в специализированных магазинах» – 10 %.</w:t>
      </w:r>
    </w:p>
    <w:p>
      <w:pPr>
        <w:spacing w:after="200" w:before="0"/>
        <w:ind w:firstLine="425"/>
        <w:jc w:val="both"/>
      </w:pPr>
      <w:r>
        <w:rPr>
          <w:b w:val="0"/>
          <w:sz w:val="24"/>
        </w:rPr>
        <w:t>Наибольший удельный вес – 45 % – приходится на подкласс 47241.</w:t>
      </w:r>
    </w:p>
    <w:p>
      <w:pPr>
        <w:spacing w:after="120" w:before="0"/>
        <w:jc w:val="left"/>
      </w:pPr>
      <w:r>
        <w:rPr>
          <w:b/>
          <w:sz w:val="24"/>
        </w:rPr>
        <w:t>Вывод</w:t>
      </w:r>
    </w:p>
    <w:p>
      <w:pPr>
        <w:spacing w:after="120" w:before="0"/>
        <w:ind w:firstLine="709"/>
        <w:jc w:val="both"/>
      </w:pPr>
      <w:r>
        <w:rPr>
          <w:b w:val="0"/>
          <w:sz w:val="24"/>
        </w:rPr>
        <w:t>Основным видом экономической деятельности ООО «Тёплый мякиш» является розничная торговля хлебобулочными, сухарными и бараночными изделиями в специализированных магазинах – код 47241. Именно этот код указан в пункте 6 заявления о государственной регистрации. Остальные виды деятельности (47242, 10710, 10720, 56100) являются дополнительными.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