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center"/>
      </w:pPr>
      <w:r>
        <w:rPr>
          <w:b/>
          <w:sz w:val="28"/>
        </w:rPr>
        <w:t>Лабораторная работа № 1</w:t>
      </w:r>
    </w:p>
    <w:p>
      <w:pPr>
        <w:spacing w:after="240" w:before="0"/>
        <w:jc w:val="center"/>
      </w:pPr>
      <w:r>
        <w:rPr>
          <w:b/>
          <w:sz w:val="26"/>
        </w:rPr>
        <w:t>Обоснование выбора организационно-правовой формы и адреса регистрации</w:t>
      </w:r>
    </w:p>
    <w:p>
      <w:pPr>
        <w:spacing w:after="120" w:before="0"/>
        <w:jc w:val="both"/>
      </w:pPr>
      <w:r>
        <w:rPr>
          <w:b w:val="0"/>
          <w:sz w:val="24"/>
        </w:rPr>
        <w:t>Организация: Общество с ограниченной ответственностью «Тёплый мякиш» (ООО «Тёплый мякиш»).</w:t>
      </w:r>
    </w:p>
    <w:p>
      <w:pPr>
        <w:spacing w:after="240" w:before="0"/>
        <w:ind w:firstLine="709"/>
        <w:jc w:val="both"/>
      </w:pPr>
      <w:r>
        <w:rPr>
          <w:b w:val="0"/>
          <w:sz w:val="24"/>
        </w:rPr>
        <w:t>Виды деятельности: розничная торговля хлебобулочными, сухарными, бараночными и сахаристыми кондитерскими изделиями (коды 47241, 47242), производство хлебобулочных и мучных кондитерских изделий (коды 10710, 10720), деятельность ресторанов (код 56100). Количество учредителей – 2 физических лица.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</w:tcPr>
          <w:p>
            <w:pPr>
              <w:spacing w:after="60"/>
              <w:jc w:val="center"/>
            </w:pPr>
            <w:r/>
            <w:r>
              <w:rPr>
                <w:b/>
                <w:sz w:val="22"/>
              </w:rPr>
              <w:t>Форма ю/л</w:t>
            </w:r>
          </w:p>
        </w:tc>
        <w:tc>
          <w:tcPr>
            <w:tcW w:type="dxa" w:w="7370"/>
          </w:tcPr>
          <w:p>
            <w:pPr>
              <w:spacing w:after="60"/>
              <w:jc w:val="center"/>
            </w:pPr>
            <w:r/>
            <w:r>
              <w:rPr>
                <w:b/>
                <w:sz w:val="22"/>
              </w:rPr>
              <w:t>Преимущества формы (адреса) ю/л для выбранного вида экономической деятельности</w:t>
            </w:r>
          </w:p>
        </w:tc>
      </w:tr>
      <w:tr>
        <w:tc>
          <w:tcPr>
            <w:tcW w:type="dxa" w:w="1701"/>
          </w:tcPr>
          <w:p>
            <w:pPr>
              <w:spacing w:after="60"/>
              <w:jc w:val="center"/>
            </w:pPr>
            <w:r/>
            <w:r>
              <w:rPr>
                <w:b/>
                <w:sz w:val="22"/>
              </w:rPr>
              <w:t>ООО</w:t>
            </w:r>
          </w:p>
        </w:tc>
        <w:tc>
          <w:tcPr>
            <w:tcW w:type="dxa" w:w="7370"/>
          </w:tcPr>
          <w:p>
            <w:pPr>
              <w:spacing w:after="80"/>
              <w:jc w:val="both"/>
            </w:pPr>
            <w:r/>
            <w:r>
              <w:rPr>
                <w:b/>
                <w:sz w:val="22"/>
              </w:rPr>
              <w:t xml:space="preserve">1. Ограниченный риск учредителей. </w:t>
            </w:r>
            <w:r>
              <w:rPr>
                <w:sz w:val="22"/>
              </w:rPr>
              <w:t>Участники не отвечают по обязательствам Общества, а несут лишь риск убытков в пределах стоимости внесенных ими вкладов. Для торговли пищевыми продуктами и собственного производства это принципиально: в ОДО участники солидарно несут субсидиарную ответственность своим имуществом в размере не менее 50 базовых величин, а члены производственного кооператива – в размере не меньше величины полученного годового дохода.</w:t>
            </w:r>
          </w:p>
          <w:p>
            <w:pPr>
              <w:spacing w:after="80"/>
              <w:jc w:val="both"/>
            </w:pPr>
            <w:r>
              <w:rPr>
                <w:b/>
                <w:sz w:val="22"/>
              </w:rPr>
              <w:t xml:space="preserve">2. Любой размер уставного фонда и 12 месяцев на его формирование. </w:t>
            </w:r>
            <w:r>
              <w:rPr>
                <w:sz w:val="22"/>
              </w:rPr>
              <w:t>Законодательство не устанавливает минимального размера уставного фонда ООО, тогда как для ЗАО он составляет минимум 100 базовых величин, а для ОАО – 400 базовых величин. Уставный фонд в 10 000 рублей формируется в течение 12 месяцев с даты государственной регистрации, что позволяет направить оборотные средства на закупку муки и сырья, а также на пекарное и торговое оборудование.</w:t>
            </w:r>
          </w:p>
          <w:p>
            <w:pPr>
              <w:spacing w:after="80"/>
              <w:jc w:val="both"/>
            </w:pPr>
            <w:r>
              <w:rPr>
                <w:b/>
                <w:sz w:val="22"/>
              </w:rPr>
              <w:t xml:space="preserve">3. Возможность роста числа участников. </w:t>
            </w:r>
            <w:r>
              <w:rPr>
                <w:sz w:val="22"/>
              </w:rPr>
              <w:t>Общество создается двумя учредителями, тогда как в производственном кооперативе требуется не менее трех членов, а в частном унитарном предприятии учредитель может быть только один. При этом ООО может объединять до 50 участников, то есть в дальнейшем в состав можно принять инвесторов для открытия новых торговых объектов.</w:t>
            </w:r>
          </w:p>
          <w:p>
            <w:pPr>
              <w:spacing w:after="80"/>
              <w:jc w:val="both"/>
            </w:pPr>
            <w:r>
              <w:rPr>
                <w:b/>
                <w:sz w:val="22"/>
              </w:rPr>
              <w:t xml:space="preserve">4. Простая смена состава участников. </w:t>
            </w:r>
            <w:r>
              <w:rPr>
                <w:sz w:val="22"/>
              </w:rPr>
              <w:t>Доля участника может быть продана, подарена или обменена, участник вправе выйти из Общества. В ЧУП смена собственника возможна только через продажу предприятия как имущественного комплекса или реорганизацию, а в ЗАО и ОАО – через отчуждение акций.</w:t>
            </w:r>
          </w:p>
          <w:p>
            <w:pPr>
              <w:spacing w:after="80"/>
              <w:jc w:val="both"/>
            </w:pPr>
            <w:r>
              <w:rPr>
                <w:b/>
                <w:sz w:val="22"/>
              </w:rPr>
              <w:t xml:space="preserve">5. Имущество принадлежит Обществу. </w:t>
            </w:r>
            <w:r>
              <w:rPr>
                <w:sz w:val="22"/>
              </w:rPr>
              <w:t>Право собственности на имущество (оборудование пекарни, товарные запасы, торговое оборудование) принадлежит самому Обществу, а не учредителям, как в унитарном предприятии. Это упрощает учет, залог имущества при кредитовании и расчеты с поставщиками.</w:t>
            </w:r>
          </w:p>
          <w:p>
            <w:pPr>
              <w:spacing w:after="80"/>
              <w:jc w:val="both"/>
            </w:pPr>
            <w:r>
              <w:rPr>
                <w:b/>
                <w:sz w:val="22"/>
              </w:rPr>
              <w:t xml:space="preserve">6. Общие для всех форм требования выполнимы. </w:t>
            </w:r>
            <w:r>
              <w:rPr>
                <w:sz w:val="22"/>
              </w:rPr>
              <w:t>Учредительный документ – только устав (учредительный договор не требуется), а бухгалтерский учет может вести главный бухгалтер, бухгалтер либо организация или индивидуальный предприниматель, оказывающие услуги по ведению бухгалтерского учета, что снижает постоянные расходы на старте.</w:t>
            </w:r>
          </w:p>
        </w:tc>
      </w:tr>
      <w:tr>
        <w:tc>
          <w:tcPr>
            <w:tcW w:type="dxa" w:w="1701"/>
          </w:tcPr>
          <w:p>
            <w:pPr>
              <w:spacing w:after="60"/>
              <w:jc w:val="center"/>
            </w:pPr>
            <w:r/>
            <w:r>
              <w:rPr>
                <w:b/>
                <w:sz w:val="22"/>
              </w:rPr>
              <w:t>Адрес регистрации</w:t>
            </w:r>
          </w:p>
        </w:tc>
        <w:tc>
          <w:tcPr>
            <w:tcW w:type="dxa" w:w="7370"/>
          </w:tcPr>
          <w:p>
            <w:pPr>
              <w:spacing w:after="80"/>
              <w:jc w:val="both"/>
            </w:pPr>
            <w:r/>
            <w:r>
              <w:rPr>
                <w:b/>
                <w:sz w:val="22"/>
              </w:rPr>
              <w:t>220013, Республика Беларусь, г. Минск, улица Кульман, дом 9, помещение 3.</w:t>
            </w:r>
          </w:p>
          <w:p>
            <w:pPr>
              <w:spacing w:after="80"/>
              <w:jc w:val="both"/>
            </w:pPr>
            <w:r>
              <w:rPr>
                <w:sz w:val="22"/>
              </w:rPr>
              <w:t>Место нахождения ООО должно быть административным (нежилым) помещением – жилой фонд для этой организационно-правовой формы не допускается (в отличие от ЧУП, которое может быть зарегистрировано в негосударственном жилом помещении, если учредитель в нем прописан или является его собственником). Выбранное помещение по типу является нежилым, что соответствует этому требованию.</w:t>
            </w:r>
          </w:p>
          <w:p>
            <w:pPr>
              <w:spacing w:after="80"/>
              <w:jc w:val="both"/>
            </w:pPr>
            <w:r>
              <w:rPr>
                <w:sz w:val="22"/>
              </w:rPr>
              <w:t>Регистрация в г. Минске определяет регистрирующий орган – Минский городской исполнительный комитет, который указан в заявлении о государственной регистрации.</w:t>
            </w:r>
          </w:p>
          <w:p>
            <w:pPr>
              <w:spacing w:after="80"/>
              <w:jc w:val="both"/>
            </w:pPr>
            <w:r>
              <w:rPr>
                <w:sz w:val="22"/>
              </w:rPr>
              <w:t>Помещение является нежилым, что позволяет разместить в нём специализированный магазин – торговый объект, через который осуществляется основной вид деятельности (код 47241).</w:t>
            </w:r>
          </w:p>
          <w:p>
            <w:pPr>
              <w:spacing w:after="80"/>
              <w:jc w:val="both"/>
            </w:pPr>
            <w:r>
              <w:rPr>
                <w:sz w:val="22"/>
              </w:rPr>
              <w:t>По этому же адресу размещаются производственный участок (коды 10710, 10720) и объект общественного питания (код 56100), что обеспечивает продажу продукции собственной выпечки непосредственно в месте ее изготовления и сокращает транспортные расходы.</w:t>
            </w:r>
          </w:p>
        </w:tc>
      </w:tr>
    </w:tbl>
    <w:p>
      <w:pPr>
        <w:spacing w:after="120" w:before="0"/>
        <w:jc w:val="both"/>
      </w:pPr>
      <w:r>
        <w:rPr>
          <w:b w:val="0"/>
          <w:sz w:val="24"/>
        </w:rPr>
      </w:r>
    </w:p>
    <w:p>
      <w:pPr>
        <w:spacing w:after="120" w:before="0"/>
        <w:jc w:val="both"/>
      </w:pPr>
      <w:r>
        <w:rPr>
          <w:b w:val="0"/>
          <w:sz w:val="24"/>
        </w:rPr>
        <w:t>Вывод: для организации, совмещающей розничную торговлю, производство хлебобулочных изделий и деятельность кафе и создаваемой двумя физическими лицами, общество с ограниченной ответственностью является оптимальной организационно-правовой формой: она ограничивает риски учредителей размером вкладов, не требует минимального уставного фонда и допускает дальнейшее расширение состава участников.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