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Backend development milestone plan</w:t>
      </w:r>
    </w:p>
    <w:p>
      <w:r>
        <w:t>Prepared by Dhrivn Technologies for Legit Hair</w:t>
      </w:r>
    </w:p>
    <w:p>
      <w:r>
        <w:t>This plan turns the existing ecommerce PRD into twelve backend milestones. Use it to instruct Codex one milestone at a time, review real test evidence, and decide when the next milestone can begin. The companion AGENTS.md sets repository rules; the prompt book provides complete instructions; the Postman collection supplies proposed request samples.</w:t>
      </w:r>
    </w:p>
    <w:p>
      <w:pPr>
        <w:pStyle w:val="Heading2"/>
      </w:pPr>
      <w:r>
        <w:t>Planning status</w:t>
      </w:r>
    </w:p>
    <w:p>
      <w:r>
        <w:t>All milestones are NOT_STARTED. This pack contains no implemented backend, executed tests or verified provider integration. Routes are proposed contracts to confirm in B01. The original PRD uses the working name Test Store; this plan applies that scope to Legit Hair.</w:t>
      </w:r>
    </w:p>
    <w:p>
      <w:pPr>
        <w:pStyle w:val="Heading2"/>
      </w:pPr>
      <w:r>
        <w:t>Backend scope</w:t>
      </w:r>
    </w:p>
    <w:p>
      <w:r>
        <w:t>Build a Lagos marketplace for company products and approved sellers, customer and guest checkout, Paystack NGN payments, controlled cash on delivery, delivery and pickup, returns, seller earnings and payouts, administration and persistent support chat. Frontend development is outside this plan.</w:t>
      </w:r>
    </w:p>
    <w:p>
      <w:pPr>
        <w:pStyle w:val="Heading2"/>
      </w:pPr>
      <w:r>
        <w:t>Important limits</w:t>
      </w:r>
    </w:p>
    <w:p>
      <w:r>
        <w:t>NGN is the settlement currency. USD is indicative display only. Selectable product variants, wallets, escrow, coupons, nationwide courier integration, native apps and real USD settlement remain outside the agreed baseline. Policy decisions listed on page 3 must be resolved before their dependent logic is accepted.</w:t>
      </w:r>
    </w:p>
    <w:p>
      <w:pPr>
        <w:pStyle w:val="Heading2"/>
      </w:pPr>
      <w:r>
        <w:t>How to start</w:t>
      </w:r>
    </w:p>
    <w:p>
      <w:r>
        <w:t>Put AGENTS.md in the backend repository, preserving existing instructions. Add the PRD and this plan to project documentation. Copy the complete B01 prompt from the prompt book to Codex. Import the sample collection into Postman after the API exists, set test tokens and fixture IDs, and run only against local or authorised test environments.</w:t>
      </w:r>
    </w:p>
    <w:p>
      <w:pPr>
        <w:pStyle w:val="Heading1"/>
        <w:pageBreakBefore/>
      </w:pPr>
      <w:r>
        <w:t>Technology and engineering approach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352"/>
      </w:tblGrid>
      <w:tr>
        <w:trPr>
          <w:cantSplit/>
          <w:tblHeader/>
        </w:trPr>
        <w:tc>
          <w:tcPr>
            <w:tcW w:type="dxa" w:w="5040"/>
            <w:shd w:fill="203A80"/>
            <w:tcMar>
              <w:top w:w="90" w:type="dxa"/>
              <w:bottom w:w="90" w:type="dxa"/>
              <w:left w:w="90" w:type="dxa"/>
              <w:right w:w="90" w:type="dxa"/>
            </w:tcMar>
          </w:tcPr>
          <w:p>
            <w:pPr>
              <w:spacing w:after="0"/>
            </w:pPr>
            <w:r>
              <w:rPr>
                <w:b/>
                <w:color w:val="FFFFFF"/>
                <w:sz w:val="20"/>
              </w:rPr>
              <w:t>Area</w:t>
            </w:r>
          </w:p>
        </w:tc>
        <w:tc>
          <w:tcPr>
            <w:tcW w:type="dxa" w:w="5040"/>
            <w:shd w:fill="203A80"/>
            <w:tcMar>
              <w:top w:w="90" w:type="dxa"/>
              <w:bottom w:w="90" w:type="dxa"/>
              <w:left w:w="90" w:type="dxa"/>
              <w:right w:w="90" w:type="dxa"/>
            </w:tcMar>
          </w:tcPr>
          <w:p>
            <w:pPr>
              <w:spacing w:after="0"/>
            </w:pPr>
            <w:r>
              <w:rPr>
                <w:b/>
                <w:color w:val="FFFFFF"/>
                <w:sz w:val="20"/>
              </w:rPr>
              <w:t>Backend choice</w:t>
            </w:r>
          </w:p>
        </w:tc>
      </w:tr>
      <w:tr>
        <w:trPr>
          <w:cantSplit/>
        </w:trPr>
        <w:tc>
          <w:tcPr>
            <w:tcW w:type="dxa" w:w="1728"/>
            <w:shd w:fill="FFFFFF"/>
            <w:tcMar>
              <w:top w:w="90" w:type="dxa"/>
              <w:bottom w:w="90" w:type="dxa"/>
              <w:left w:w="90" w:type="dxa"/>
              <w:right w:w="90" w:type="dxa"/>
            </w:tcMar>
          </w:tcPr>
          <w:p>
            <w:pPr>
              <w:spacing w:after="0"/>
            </w:pPr>
            <w:r>
              <w:rPr>
                <w:b w:val="0"/>
                <w:color w:val="000000"/>
                <w:sz w:val="20"/>
              </w:rPr>
              <w:t>Application</w:t>
            </w:r>
          </w:p>
        </w:tc>
        <w:tc>
          <w:tcPr>
            <w:tcW w:type="dxa" w:w="8352"/>
            <w:shd w:fill="FFFFFF"/>
            <w:tcMar>
              <w:top w:w="90" w:type="dxa"/>
              <w:bottom w:w="90" w:type="dxa"/>
              <w:left w:w="90" w:type="dxa"/>
              <w:right w:w="90" w:type="dxa"/>
            </w:tcMar>
          </w:tcPr>
          <w:p>
            <w:pPr>
              <w:spacing w:after="0"/>
            </w:pPr>
            <w:r>
              <w:rPr>
                <w:b w:val="0"/>
                <w:color w:val="000000"/>
                <w:sz w:val="20"/>
              </w:rPr>
              <w:t>Node.js supported LTS and Express; TypeScript is the proposed backend language. Pin supported versions.</w:t>
            </w:r>
          </w:p>
        </w:tc>
      </w:tr>
      <w:tr>
        <w:trPr>
          <w:cantSplit/>
        </w:trPr>
        <w:tc>
          <w:tcPr>
            <w:tcW w:type="dxa" w:w="1728"/>
            <w:shd w:fill="F0F3FA"/>
            <w:tcMar>
              <w:top w:w="90" w:type="dxa"/>
              <w:bottom w:w="90" w:type="dxa"/>
              <w:left w:w="90" w:type="dxa"/>
              <w:right w:w="90" w:type="dxa"/>
            </w:tcMar>
          </w:tcPr>
          <w:p>
            <w:pPr>
              <w:spacing w:after="0"/>
            </w:pPr>
            <w:r>
              <w:rPr>
                <w:b w:val="0"/>
                <w:color w:val="000000"/>
                <w:sz w:val="20"/>
              </w:rPr>
              <w:t>Realtime</w:t>
            </w:r>
          </w:p>
        </w:tc>
        <w:tc>
          <w:tcPr>
            <w:tcW w:type="dxa" w:w="8352"/>
            <w:shd w:fill="F0F3FA"/>
            <w:tcMar>
              <w:top w:w="90" w:type="dxa"/>
              <w:bottom w:w="90" w:type="dxa"/>
              <w:left w:w="90" w:type="dxa"/>
              <w:right w:w="90" w:type="dxa"/>
            </w:tcMar>
          </w:tcPr>
          <w:p>
            <w:pPr>
              <w:spacing w:after="0"/>
            </w:pPr>
            <w:r>
              <w:rPr>
                <w:b w:val="0"/>
                <w:color w:val="000000"/>
                <w:sz w:val="20"/>
              </w:rPr>
              <w:t>Socket.IO with persisted messages, acknowledgements, room permissions and reconnect recovery.</w:t>
            </w:r>
          </w:p>
        </w:tc>
      </w:tr>
      <w:tr>
        <w:trPr>
          <w:cantSplit/>
        </w:trPr>
        <w:tc>
          <w:tcPr>
            <w:tcW w:type="dxa" w:w="1728"/>
            <w:shd w:fill="FFFFFF"/>
            <w:tcMar>
              <w:top w:w="90" w:type="dxa"/>
              <w:bottom w:w="90" w:type="dxa"/>
              <w:left w:w="90" w:type="dxa"/>
              <w:right w:w="90" w:type="dxa"/>
            </w:tcMar>
          </w:tcPr>
          <w:p>
            <w:pPr>
              <w:spacing w:after="0"/>
            </w:pPr>
            <w:r>
              <w:rPr>
                <w:b w:val="0"/>
                <w:color w:val="000000"/>
                <w:sz w:val="20"/>
              </w:rPr>
              <w:t>Database</w:t>
            </w:r>
          </w:p>
        </w:tc>
        <w:tc>
          <w:tcPr>
            <w:tcW w:type="dxa" w:w="8352"/>
            <w:shd w:fill="FFFFFF"/>
            <w:tcMar>
              <w:top w:w="90" w:type="dxa"/>
              <w:bottom w:w="90" w:type="dxa"/>
              <w:left w:w="90" w:type="dxa"/>
              <w:right w:w="90" w:type="dxa"/>
            </w:tcMar>
          </w:tcPr>
          <w:p>
            <w:pPr>
              <w:spacing w:after="0"/>
            </w:pPr>
            <w:r>
              <w:rPr>
                <w:b w:val="0"/>
                <w:color w:val="000000"/>
                <w:sz w:val="20"/>
              </w:rPr>
              <w:t>Production MySQL and matching local MySQL; XAMPP and phpMyAdmin are local administration tools.</w:t>
            </w:r>
          </w:p>
        </w:tc>
      </w:tr>
      <w:tr>
        <w:trPr>
          <w:cantSplit/>
        </w:trPr>
        <w:tc>
          <w:tcPr>
            <w:tcW w:type="dxa" w:w="1728"/>
            <w:shd w:fill="F0F3FA"/>
            <w:tcMar>
              <w:top w:w="90" w:type="dxa"/>
              <w:bottom w:w="90" w:type="dxa"/>
              <w:left w:w="90" w:type="dxa"/>
              <w:right w:w="90" w:type="dxa"/>
            </w:tcMar>
          </w:tcPr>
          <w:p>
            <w:pPr>
              <w:spacing w:after="0"/>
            </w:pPr>
            <w:r>
              <w:rPr>
                <w:b w:val="0"/>
                <w:color w:val="000000"/>
                <w:sz w:val="20"/>
              </w:rPr>
              <w:t>Integrations</w:t>
            </w:r>
          </w:p>
        </w:tc>
        <w:tc>
          <w:tcPr>
            <w:tcW w:type="dxa" w:w="8352"/>
            <w:shd w:fill="F0F3FA"/>
            <w:tcMar>
              <w:top w:w="90" w:type="dxa"/>
              <w:bottom w:w="90" w:type="dxa"/>
              <w:left w:w="90" w:type="dxa"/>
              <w:right w:w="90" w:type="dxa"/>
            </w:tcMar>
          </w:tcPr>
          <w:p>
            <w:pPr>
              <w:spacing w:after="0"/>
            </w:pPr>
            <w:r>
              <w:rPr>
                <w:b w:val="0"/>
                <w:color w:val="000000"/>
                <w:sz w:val="20"/>
              </w:rPr>
              <w:t>Paystack NGN payment and transfer adapters; one approved Dojah seller verification check; email adapter, with Resend proposed.</w:t>
            </w:r>
          </w:p>
        </w:tc>
      </w:tr>
      <w:tr>
        <w:trPr>
          <w:cantSplit/>
        </w:trPr>
        <w:tc>
          <w:tcPr>
            <w:tcW w:type="dxa" w:w="1728"/>
            <w:shd w:fill="FFFFFF"/>
            <w:tcMar>
              <w:top w:w="90" w:type="dxa"/>
              <w:bottom w:w="90" w:type="dxa"/>
              <w:left w:w="90" w:type="dxa"/>
              <w:right w:w="90" w:type="dxa"/>
            </w:tcMar>
          </w:tcPr>
          <w:p>
            <w:pPr>
              <w:spacing w:after="0"/>
            </w:pPr>
            <w:r>
              <w:rPr>
                <w:b w:val="0"/>
                <w:color w:val="000000"/>
                <w:sz w:val="20"/>
              </w:rPr>
              <w:t>Testing</w:t>
            </w:r>
          </w:p>
        </w:tc>
        <w:tc>
          <w:tcPr>
            <w:tcW w:type="dxa" w:w="8352"/>
            <w:shd w:fill="FFFFFF"/>
            <w:tcMar>
              <w:top w:w="90" w:type="dxa"/>
              <w:bottom w:w="90" w:type="dxa"/>
              <w:left w:w="90" w:type="dxa"/>
              <w:right w:w="90" w:type="dxa"/>
            </w:tcMar>
          </w:tcPr>
          <w:p>
            <w:pPr>
              <w:spacing w:after="0"/>
            </w:pPr>
            <w:r>
              <w:rPr>
                <w:b w:val="0"/>
                <w:color w:val="000000"/>
                <w:sz w:val="20"/>
              </w:rPr>
              <w:t>Mocha for backend tests, Supertest for HTTP, socket.io-client for socket tests, and real MySQL integration tests. Jest remains the frontend testing choice.</w:t>
            </w:r>
          </w:p>
        </w:tc>
      </w:tr>
      <w:tr>
        <w:trPr>
          <w:cantSplit/>
        </w:trPr>
        <w:tc>
          <w:tcPr>
            <w:tcW w:type="dxa" w:w="1728"/>
            <w:shd w:fill="F0F3FA"/>
            <w:tcMar>
              <w:top w:w="90" w:type="dxa"/>
              <w:bottom w:w="90" w:type="dxa"/>
              <w:left w:w="90" w:type="dxa"/>
              <w:right w:w="90" w:type="dxa"/>
            </w:tcMar>
          </w:tcPr>
          <w:p>
            <w:pPr>
              <w:spacing w:after="0"/>
            </w:pPr>
            <w:r>
              <w:rPr>
                <w:b w:val="0"/>
                <w:color w:val="000000"/>
                <w:sz w:val="20"/>
              </w:rPr>
              <w:t>Hosting</w:t>
            </w:r>
          </w:p>
        </w:tc>
        <w:tc>
          <w:tcPr>
            <w:tcW w:type="dxa" w:w="8352"/>
            <w:shd w:fill="F0F3FA"/>
            <w:tcMar>
              <w:top w:w="90" w:type="dxa"/>
              <w:bottom w:w="90" w:type="dxa"/>
              <w:left w:w="90" w:type="dxa"/>
              <w:right w:w="90" w:type="dxa"/>
            </w:tcMar>
          </w:tcPr>
          <w:p>
            <w:pPr>
              <w:spacing w:after="0"/>
            </w:pPr>
            <w:r>
              <w:rPr>
                <w:b w:val="0"/>
                <w:color w:val="000000"/>
                <w:sz w:val="20"/>
              </w:rPr>
              <w:t>Separate API and worker services, private MySQL, HTTPS, monitoring and scheduled backups; confirm provider, region, domain and recurring costs.</w:t>
            </w:r>
          </w:p>
        </w:tc>
      </w:tr>
    </w:tbl>
    <w:p>
      <w:pPr>
        <w:spacing w:after="40" w:before="0" w:line="60" w:lineRule="exact"/>
      </w:pPr>
    </w:p>
    <w:p>
      <w:pPr>
        <w:pStyle w:val="Heading2"/>
      </w:pPr>
      <w:r>
        <w:t>Database parity</w:t>
      </w:r>
    </w:p>
    <w:p>
      <w:r>
        <w:t>XAMPP commonly ships MariaDB. Install MySQL separately to match production and connect phpMyAdmin to it. Node runs independently; PHP is not the backend. Record the exact MySQL version and run migrations and concurrency tests against it.</w:t>
      </w:r>
    </w:p>
    <w:p>
      <w:pPr>
        <w:pStyle w:val="Heading2"/>
      </w:pPr>
      <w:r>
        <w:t>Architecture</w:t>
      </w:r>
    </w:p>
    <w:p>
      <w:r>
        <w:t>Use a modular application with thin controllers, domain services, repositories and external provider adapters. Validate inputs at the boundary, document versioned API contracts and centralise errors. Use migrations, explicit state transitions, ownership checks and least privilege. Durable jobs and an outbox protect work across crashes; unique keys and idempotency prevent duplicate money movement.</w:t>
      </w:r>
    </w:p>
    <w:p>
      <w:pPr>
        <w:pStyle w:val="Heading2"/>
      </w:pPr>
      <w:r>
        <w:t>Payment and stock safety</w:t>
      </w:r>
    </w:p>
    <w:p>
      <w:r>
        <w:t>Use integer NGN minor units and snapshot checkout prices and fees. Reserve inventory inside short transactions; avoid provider calls while locks are held. Verify payment status, amount, currency and reference on the server. Never trust browser callbacks. Reconcile uncertain provider outcomes rather than initiating a duplicate payment or transfer.</w:t>
      </w:r>
    </w:p>
    <w:p>
      <w:pPr>
        <w:pStyle w:val="Heading1"/>
        <w:pageBreakBefore/>
      </w:pPr>
      <w:r>
        <w:t>Milestone gates and review workflow</w:t>
      </w:r>
    </w:p>
    <w:p>
      <w:pPr>
        <w:pStyle w:val="Heading2"/>
      </w:pPr>
      <w:r>
        <w:t>Acceptance sequence</w:t>
      </w:r>
    </w:p>
    <w:p>
      <w:r>
        <w:t>Before starting B02–B12, verify that the previous milestone is explicitly accepted. Codex may do independent preparation while a gate is open, but must not silently build dependent behaviour. Stop after every milestone report and provide the next complete prompt.</w:t>
      </w:r>
    </w:p>
    <w:p>
      <w:pPr>
        <w:pStyle w:val="Heading2"/>
      </w:pPr>
      <w:r>
        <w:t>Required closeout for every milestone</w:t>
      </w:r>
    </w:p>
    <w:p>
      <w:r>
        <w:t>Deliver the implemented scope, API and migration notes, exact executed checks with pass, fail and skipped counts, an updated importable Postman collection and environment, positive and negative samples with expected responses, and a short milestone summary. Save raw evidence and describe recovery steps. Separate local mocks, real database tests and provider test mode acceptance. Report missing credentials or failed checks honestly.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5040"/>
            <w:shd w:fill="203A80"/>
            <w:tcMar>
              <w:top w:w="90" w:type="dxa"/>
              <w:bottom w:w="90" w:type="dxa"/>
              <w:left w:w="90" w:type="dxa"/>
              <w:right w:w="90" w:type="dxa"/>
            </w:tcMar>
          </w:tcPr>
          <w:p>
            <w:pPr>
              <w:spacing w:after="0"/>
            </w:pPr>
            <w:r>
              <w:rPr>
                <w:b/>
                <w:color w:val="FFFFFF"/>
                <w:sz w:val="20"/>
              </w:rPr>
              <w:t>State</w:t>
            </w:r>
          </w:p>
        </w:tc>
        <w:tc>
          <w:tcPr>
            <w:tcW w:type="dxa" w:w="5040"/>
            <w:shd w:fill="203A80"/>
            <w:tcMar>
              <w:top w:w="90" w:type="dxa"/>
              <w:bottom w:w="90" w:type="dxa"/>
              <w:left w:w="90" w:type="dxa"/>
              <w:right w:w="90" w:type="dxa"/>
            </w:tcMar>
          </w:tcPr>
          <w:p>
            <w:pPr>
              <w:spacing w:after="0"/>
            </w:pPr>
            <w:r>
              <w:rPr>
                <w:b/>
                <w:color w:val="FFFFFF"/>
                <w:sz w:val="20"/>
              </w:rPr>
              <w:t>Meaning</w:t>
            </w:r>
          </w:p>
        </w:tc>
      </w:tr>
      <w:tr>
        <w:trPr>
          <w:cantSplit/>
        </w:trPr>
        <w:tc>
          <w:tcPr>
            <w:tcW w:type="dxa" w:w="2376"/>
            <w:shd w:fill="FFFFFF"/>
            <w:tcMar>
              <w:top w:w="90" w:type="dxa"/>
              <w:bottom w:w="90" w:type="dxa"/>
              <w:left w:w="90" w:type="dxa"/>
              <w:right w:w="90" w:type="dxa"/>
            </w:tcMar>
          </w:tcPr>
          <w:p>
            <w:pPr>
              <w:spacing w:after="0"/>
            </w:pPr>
            <w:r>
              <w:rPr>
                <w:b w:val="0"/>
                <w:color w:val="000000"/>
                <w:sz w:val="20"/>
              </w:rPr>
              <w:t>NOT_STARTED</w:t>
            </w:r>
          </w:p>
        </w:tc>
        <w:tc>
          <w:tcPr>
            <w:tcW w:type="dxa" w:w="7704"/>
            <w:shd w:fill="FFFFFF"/>
            <w:tcMar>
              <w:top w:w="90" w:type="dxa"/>
              <w:bottom w:w="90" w:type="dxa"/>
              <w:left w:w="90" w:type="dxa"/>
              <w:right w:w="90" w:type="dxa"/>
            </w:tcMar>
          </w:tcPr>
          <w:p>
            <w:pPr>
              <w:spacing w:after="0"/>
            </w:pPr>
            <w:r>
              <w:rPr>
                <w:b w:val="0"/>
                <w:color w:val="000000"/>
                <w:sz w:val="20"/>
              </w:rPr>
              <w:t>No work completed.</w:t>
            </w:r>
          </w:p>
        </w:tc>
      </w:tr>
      <w:tr>
        <w:trPr>
          <w:cantSplit/>
        </w:trPr>
        <w:tc>
          <w:tcPr>
            <w:tcW w:type="dxa" w:w="2376"/>
            <w:shd w:fill="F0F3FA"/>
            <w:tcMar>
              <w:top w:w="90" w:type="dxa"/>
              <w:bottom w:w="90" w:type="dxa"/>
              <w:left w:w="90" w:type="dxa"/>
              <w:right w:w="90" w:type="dxa"/>
            </w:tcMar>
          </w:tcPr>
          <w:p>
            <w:pPr>
              <w:spacing w:after="0"/>
            </w:pPr>
            <w:r>
              <w:rPr>
                <w:b w:val="0"/>
                <w:color w:val="000000"/>
                <w:sz w:val="20"/>
              </w:rPr>
              <w:t>IN_PROGRESS</w:t>
            </w:r>
          </w:p>
        </w:tc>
        <w:tc>
          <w:tcPr>
            <w:tcW w:type="dxa" w:w="7704"/>
            <w:shd w:fill="F0F3FA"/>
            <w:tcMar>
              <w:top w:w="90" w:type="dxa"/>
              <w:bottom w:w="90" w:type="dxa"/>
              <w:left w:w="90" w:type="dxa"/>
              <w:right w:w="90" w:type="dxa"/>
            </w:tcMar>
          </w:tcPr>
          <w:p>
            <w:pPr>
              <w:spacing w:after="0"/>
            </w:pPr>
            <w:r>
              <w:rPr>
                <w:b w:val="0"/>
                <w:color w:val="000000"/>
                <w:sz w:val="20"/>
              </w:rPr>
              <w:t>Implementation or verification underway.</w:t>
            </w:r>
          </w:p>
        </w:tc>
      </w:tr>
      <w:tr>
        <w:trPr>
          <w:cantSplit/>
        </w:trPr>
        <w:tc>
          <w:tcPr>
            <w:tcW w:type="dxa" w:w="2376"/>
            <w:shd w:fill="FFFFFF"/>
            <w:tcMar>
              <w:top w:w="90" w:type="dxa"/>
              <w:bottom w:w="90" w:type="dxa"/>
              <w:left w:w="90" w:type="dxa"/>
              <w:right w:w="90" w:type="dxa"/>
            </w:tcMar>
          </w:tcPr>
          <w:p>
            <w:pPr>
              <w:spacing w:after="0"/>
            </w:pPr>
            <w:r>
              <w:rPr>
                <w:b w:val="0"/>
                <w:color w:val="000000"/>
                <w:sz w:val="20"/>
              </w:rPr>
              <w:t>LOCAL_VERIFIED</w:t>
            </w:r>
          </w:p>
        </w:tc>
        <w:tc>
          <w:tcPr>
            <w:tcW w:type="dxa" w:w="7704"/>
            <w:shd w:fill="FFFFFF"/>
            <w:tcMar>
              <w:top w:w="90" w:type="dxa"/>
              <w:bottom w:w="90" w:type="dxa"/>
              <w:left w:w="90" w:type="dxa"/>
              <w:right w:w="90" w:type="dxa"/>
            </w:tcMar>
          </w:tcPr>
          <w:p>
            <w:pPr>
              <w:spacing w:after="0"/>
            </w:pPr>
            <w:r>
              <w:rPr>
                <w:b w:val="0"/>
                <w:color w:val="000000"/>
                <w:sz w:val="20"/>
              </w:rPr>
              <w:t>Required local checks passed with evidence.</w:t>
            </w:r>
          </w:p>
        </w:tc>
      </w:tr>
      <w:tr>
        <w:trPr>
          <w:cantSplit/>
        </w:trPr>
        <w:tc>
          <w:tcPr>
            <w:tcW w:type="dxa" w:w="2376"/>
            <w:shd w:fill="F0F3FA"/>
            <w:tcMar>
              <w:top w:w="90" w:type="dxa"/>
              <w:bottom w:w="90" w:type="dxa"/>
              <w:left w:w="90" w:type="dxa"/>
              <w:right w:w="90" w:type="dxa"/>
            </w:tcMar>
          </w:tcPr>
          <w:p>
            <w:pPr>
              <w:spacing w:after="0"/>
            </w:pPr>
            <w:r>
              <w:rPr>
                <w:b w:val="0"/>
                <w:color w:val="000000"/>
                <w:sz w:val="20"/>
              </w:rPr>
              <w:t>BLOCKED</w:t>
            </w:r>
          </w:p>
        </w:tc>
        <w:tc>
          <w:tcPr>
            <w:tcW w:type="dxa" w:w="7704"/>
            <w:shd w:fill="F0F3FA"/>
            <w:tcMar>
              <w:top w:w="90" w:type="dxa"/>
              <w:bottom w:w="90" w:type="dxa"/>
              <w:left w:w="90" w:type="dxa"/>
              <w:right w:w="90" w:type="dxa"/>
            </w:tcMar>
          </w:tcPr>
          <w:p>
            <w:pPr>
              <w:spacing w:after="0"/>
            </w:pPr>
            <w:r>
              <w:rPr>
                <w:b w:val="0"/>
                <w:color w:val="000000"/>
                <w:sz w:val="20"/>
              </w:rPr>
              <w:t>A named dependency or check prevents required completion.</w:t>
            </w:r>
          </w:p>
        </w:tc>
      </w:tr>
      <w:tr>
        <w:trPr>
          <w:cantSplit/>
        </w:trPr>
        <w:tc>
          <w:tcPr>
            <w:tcW w:type="dxa" w:w="2376"/>
            <w:shd w:fill="FFFFFF"/>
            <w:tcMar>
              <w:top w:w="90" w:type="dxa"/>
              <w:bottom w:w="90" w:type="dxa"/>
              <w:left w:w="90" w:type="dxa"/>
              <w:right w:w="90" w:type="dxa"/>
            </w:tcMar>
          </w:tcPr>
          <w:p>
            <w:pPr>
              <w:spacing w:after="0"/>
            </w:pPr>
            <w:r>
              <w:rPr>
                <w:b w:val="0"/>
                <w:color w:val="000000"/>
                <w:sz w:val="20"/>
              </w:rPr>
              <w:t>READY_FOR_REVIEW</w:t>
            </w:r>
          </w:p>
        </w:tc>
        <w:tc>
          <w:tcPr>
            <w:tcW w:type="dxa" w:w="7704"/>
            <w:shd w:fill="FFFFFF"/>
            <w:tcMar>
              <w:top w:w="90" w:type="dxa"/>
              <w:bottom w:w="90" w:type="dxa"/>
              <w:left w:w="90" w:type="dxa"/>
              <w:right w:w="90" w:type="dxa"/>
            </w:tcMar>
          </w:tcPr>
          <w:p>
            <w:pPr>
              <w:spacing w:after="0"/>
            </w:pPr>
            <w:r>
              <w:rPr>
                <w:b w:val="0"/>
                <w:color w:val="000000"/>
                <w:sz w:val="20"/>
              </w:rPr>
              <w:t>Scope and evidence are ready; known external gates are disclosed.</w:t>
            </w:r>
          </w:p>
        </w:tc>
      </w:tr>
      <w:tr>
        <w:trPr>
          <w:cantSplit/>
        </w:trPr>
        <w:tc>
          <w:tcPr>
            <w:tcW w:type="dxa" w:w="2376"/>
            <w:shd w:fill="F0F3FA"/>
            <w:tcMar>
              <w:top w:w="90" w:type="dxa"/>
              <w:bottom w:w="90" w:type="dxa"/>
              <w:left w:w="90" w:type="dxa"/>
              <w:right w:w="90" w:type="dxa"/>
            </w:tcMar>
          </w:tcPr>
          <w:p>
            <w:pPr>
              <w:spacing w:after="0"/>
            </w:pPr>
            <w:r>
              <w:rPr>
                <w:b w:val="0"/>
                <w:color w:val="000000"/>
                <w:sz w:val="20"/>
              </w:rPr>
              <w:t>ACCEPTED</w:t>
            </w:r>
          </w:p>
        </w:tc>
        <w:tc>
          <w:tcPr>
            <w:tcW w:type="dxa" w:w="7704"/>
            <w:shd w:fill="F0F3FA"/>
            <w:tcMar>
              <w:top w:w="90" w:type="dxa"/>
              <w:bottom w:w="90" w:type="dxa"/>
              <w:left w:w="90" w:type="dxa"/>
              <w:right w:w="90" w:type="dxa"/>
            </w:tcMar>
          </w:tcPr>
          <w:p>
            <w:pPr>
              <w:spacing w:after="0"/>
            </w:pPr>
            <w:r>
              <w:rPr>
                <w:b w:val="0"/>
                <w:color w:val="000000"/>
                <w:sz w:val="20"/>
              </w:rPr>
              <w:t>The project owner explicitly accepted the milestone.</w:t>
            </w:r>
          </w:p>
        </w:tc>
      </w:tr>
    </w:tbl>
    <w:p>
      <w:pPr>
        <w:spacing w:after="40" w:before="0" w:line="60" w:lineRule="exact"/>
      </w:pPr>
    </w:p>
    <w:p>
      <w:pPr>
        <w:pStyle w:val="Heading2"/>
      </w:pPr>
      <w:r>
        <w:t>Business decisions to record</w:t>
      </w:r>
    </w:p>
    <w:p>
      <w:r>
        <w:t>Confirm the Dojah check and consent text; commission rate and basis; return window and earnings hold; Lagos zones, fees and mixed seller delivery allocation; COD eligibility and collection process; provider accounts and email sender; hosting region, budget and domain ownership. Treat unresolved choices as gates, not guessed requirements.</w:t>
      </w:r>
    </w:p>
    <w:p>
      <w:pPr>
        <w:pStyle w:val="Heading2"/>
      </w:pPr>
      <w:r>
        <w:t>Execution and delivery records</w:t>
      </w:r>
    </w:p>
    <w:p>
      <w:r>
        <w:t>Maintain docs/backend-milestones.md, docs/decisions/, docs/api/, docs/milestones/Bxx-summary.md and Bxx-test-results.md. Save test evidence under docs/milestones/evidence/Bxx/. Actual API routes and fixture IDs must replace planning samples as implementation proceeds.</w:t>
      </w:r>
    </w:p>
    <w:p>
      <w:pPr>
        <w:pStyle w:val="Heading1"/>
        <w:pageBreakBefore/>
      </w:pPr>
      <w:r>
        <w:t>Backend milestone roadmap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6408"/>
        <w:gridCol w:w="2448"/>
      </w:tblGrid>
      <w:tr>
        <w:trPr>
          <w:cantSplit/>
          <w:tblHeader/>
        </w:trPr>
        <w:tc>
          <w:tcPr>
            <w:tcW w:type="dxa" w:w="3360"/>
            <w:shd w:fill="203A80"/>
            <w:tcMar>
              <w:top w:w="90" w:type="dxa"/>
              <w:bottom w:w="90" w:type="dxa"/>
              <w:left w:w="90" w:type="dxa"/>
              <w:right w:w="90" w:type="dxa"/>
            </w:tcMar>
          </w:tcPr>
          <w:p>
            <w:pPr>
              <w:spacing w:after="0"/>
            </w:pPr>
            <w:r>
              <w:rPr>
                <w:b/>
                <w:color w:val="FFFFFF"/>
                <w:sz w:val="20"/>
              </w:rPr>
              <w:t>Milestone</w:t>
            </w:r>
          </w:p>
        </w:tc>
        <w:tc>
          <w:tcPr>
            <w:tcW w:type="dxa" w:w="3360"/>
            <w:shd w:fill="203A80"/>
            <w:tcMar>
              <w:top w:w="90" w:type="dxa"/>
              <w:bottom w:w="90" w:type="dxa"/>
              <w:left w:w="90" w:type="dxa"/>
              <w:right w:w="90" w:type="dxa"/>
            </w:tcMar>
          </w:tcPr>
          <w:p>
            <w:pPr>
              <w:spacing w:after="0"/>
            </w:pPr>
            <w:r>
              <w:rPr>
                <w:b/>
                <w:color w:val="FFFFFF"/>
                <w:sz w:val="20"/>
              </w:rPr>
              <w:t>Deliverable</w:t>
            </w:r>
          </w:p>
        </w:tc>
        <w:tc>
          <w:tcPr>
            <w:tcW w:type="dxa" w:w="3360"/>
            <w:shd w:fill="203A80"/>
            <w:tcMar>
              <w:top w:w="90" w:type="dxa"/>
              <w:bottom w:w="90" w:type="dxa"/>
              <w:left w:w="90" w:type="dxa"/>
              <w:right w:w="90" w:type="dxa"/>
            </w:tcMar>
          </w:tcPr>
          <w:p>
            <w:pPr>
              <w:spacing w:after="0"/>
            </w:pPr>
            <w:r>
              <w:rPr>
                <w:b/>
                <w:color w:val="FFFFFF"/>
                <w:sz w:val="20"/>
              </w:rPr>
              <w:t>Dependency</w:t>
            </w:r>
          </w:p>
        </w:tc>
      </w:tr>
      <w:tr>
        <w:trPr>
          <w:cantSplit/>
        </w:trPr>
        <w:tc>
          <w:tcPr>
            <w:tcW w:type="dxa" w:w="1224"/>
            <w:shd w:fill="FFFFFF"/>
            <w:tcMar>
              <w:top w:w="90" w:type="dxa"/>
              <w:bottom w:w="90" w:type="dxa"/>
              <w:left w:w="90" w:type="dxa"/>
              <w:right w:w="90" w:type="dxa"/>
            </w:tcMar>
          </w:tcPr>
          <w:p>
            <w:pPr>
              <w:spacing w:after="0"/>
            </w:pPr>
            <w:r>
              <w:rPr>
                <w:b w:val="0"/>
                <w:color w:val="000000"/>
                <w:sz w:val="20"/>
              </w:rPr>
              <w:t>B01</w:t>
            </w:r>
          </w:p>
        </w:tc>
        <w:tc>
          <w:tcPr>
            <w:tcW w:type="dxa" w:w="6408"/>
            <w:shd w:fill="FFFFFF"/>
            <w:tcMar>
              <w:top w:w="90" w:type="dxa"/>
              <w:bottom w:w="90" w:type="dxa"/>
              <w:left w:w="90" w:type="dxa"/>
              <w:right w:w="90" w:type="dxa"/>
            </w:tcMar>
          </w:tcPr>
          <w:p>
            <w:pPr>
              <w:spacing w:after="0"/>
            </w:pPr>
            <w:r>
              <w:rPr>
                <w:b w:val="0"/>
                <w:color w:val="000000"/>
                <w:sz w:val="20"/>
              </w:rPr>
              <w:t>Foundation and test infrastructure</w:t>
            </w:r>
          </w:p>
        </w:tc>
        <w:tc>
          <w:tcPr>
            <w:tcW w:type="dxa" w:w="2448"/>
            <w:shd w:fill="FFFFFF"/>
            <w:tcMar>
              <w:top w:w="90" w:type="dxa"/>
              <w:bottom w:w="90" w:type="dxa"/>
              <w:left w:w="90" w:type="dxa"/>
              <w:right w:w="90" w:type="dxa"/>
            </w:tcMar>
          </w:tcPr>
          <w:p>
            <w:pPr>
              <w:spacing w:after="0"/>
            </w:pPr>
            <w:r>
              <w:rPr>
                <w:b w:val="0"/>
                <w:color w:val="000000"/>
                <w:sz w:val="20"/>
              </w:rPr>
              <w:t>Project setup</w:t>
            </w:r>
          </w:p>
        </w:tc>
      </w:tr>
      <w:tr>
        <w:trPr>
          <w:cantSplit/>
        </w:trPr>
        <w:tc>
          <w:tcPr>
            <w:tcW w:type="dxa" w:w="1224"/>
            <w:shd w:fill="F0F3FA"/>
            <w:tcMar>
              <w:top w:w="90" w:type="dxa"/>
              <w:bottom w:w="90" w:type="dxa"/>
              <w:left w:w="90" w:type="dxa"/>
              <w:right w:w="90" w:type="dxa"/>
            </w:tcMar>
          </w:tcPr>
          <w:p>
            <w:pPr>
              <w:spacing w:after="0"/>
            </w:pPr>
            <w:r>
              <w:rPr>
                <w:b w:val="0"/>
                <w:color w:val="000000"/>
                <w:sz w:val="20"/>
              </w:rPr>
              <w:t>B02</w:t>
            </w:r>
          </w:p>
        </w:tc>
        <w:tc>
          <w:tcPr>
            <w:tcW w:type="dxa" w:w="6408"/>
            <w:shd w:fill="F0F3FA"/>
            <w:tcMar>
              <w:top w:w="90" w:type="dxa"/>
              <w:bottom w:w="90" w:type="dxa"/>
              <w:left w:w="90" w:type="dxa"/>
              <w:right w:w="90" w:type="dxa"/>
            </w:tcMar>
          </w:tcPr>
          <w:p>
            <w:pPr>
              <w:spacing w:after="0"/>
            </w:pPr>
            <w:r>
              <w:rPr>
                <w:b w:val="0"/>
                <w:color w:val="000000"/>
                <w:sz w:val="20"/>
              </w:rPr>
              <w:t>Authentication and customer accounts</w:t>
            </w:r>
          </w:p>
        </w:tc>
        <w:tc>
          <w:tcPr>
            <w:tcW w:type="dxa" w:w="2448"/>
            <w:shd w:fill="F0F3FA"/>
            <w:tcMar>
              <w:top w:w="90" w:type="dxa"/>
              <w:bottom w:w="90" w:type="dxa"/>
              <w:left w:w="90" w:type="dxa"/>
              <w:right w:w="90" w:type="dxa"/>
            </w:tcMar>
          </w:tcPr>
          <w:p>
            <w:pPr>
              <w:spacing w:after="0"/>
            </w:pPr>
            <w:r>
              <w:rPr>
                <w:b w:val="0"/>
                <w:color w:val="000000"/>
                <w:sz w:val="20"/>
              </w:rPr>
              <w:t>B01 accepted</w:t>
            </w:r>
          </w:p>
        </w:tc>
      </w:tr>
      <w:tr>
        <w:trPr>
          <w:cantSplit/>
        </w:trPr>
        <w:tc>
          <w:tcPr>
            <w:tcW w:type="dxa" w:w="1224"/>
            <w:shd w:fill="FFFFFF"/>
            <w:tcMar>
              <w:top w:w="90" w:type="dxa"/>
              <w:bottom w:w="90" w:type="dxa"/>
              <w:left w:w="90" w:type="dxa"/>
              <w:right w:w="90" w:type="dxa"/>
            </w:tcMar>
          </w:tcPr>
          <w:p>
            <w:pPr>
              <w:spacing w:after="0"/>
            </w:pPr>
            <w:r>
              <w:rPr>
                <w:b w:val="0"/>
                <w:color w:val="000000"/>
                <w:sz w:val="20"/>
              </w:rPr>
              <w:t>B03</w:t>
            </w:r>
          </w:p>
        </w:tc>
        <w:tc>
          <w:tcPr>
            <w:tcW w:type="dxa" w:w="6408"/>
            <w:shd w:fill="FFFFFF"/>
            <w:tcMar>
              <w:top w:w="90" w:type="dxa"/>
              <w:bottom w:w="90" w:type="dxa"/>
              <w:left w:w="90" w:type="dxa"/>
              <w:right w:w="90" w:type="dxa"/>
            </w:tcMar>
          </w:tcPr>
          <w:p>
            <w:pPr>
              <w:spacing w:after="0"/>
            </w:pPr>
            <w:r>
              <w:rPr>
                <w:b w:val="0"/>
                <w:color w:val="000000"/>
                <w:sz w:val="20"/>
              </w:rPr>
              <w:t>Seller onboarding and identity checks</w:t>
            </w:r>
          </w:p>
        </w:tc>
        <w:tc>
          <w:tcPr>
            <w:tcW w:type="dxa" w:w="2448"/>
            <w:shd w:fill="FFFFFF"/>
            <w:tcMar>
              <w:top w:w="90" w:type="dxa"/>
              <w:bottom w:w="90" w:type="dxa"/>
              <w:left w:w="90" w:type="dxa"/>
              <w:right w:w="90" w:type="dxa"/>
            </w:tcMar>
          </w:tcPr>
          <w:p>
            <w:pPr>
              <w:spacing w:after="0"/>
            </w:pPr>
            <w:r>
              <w:rPr>
                <w:b w:val="0"/>
                <w:color w:val="000000"/>
                <w:sz w:val="20"/>
              </w:rPr>
              <w:t>B02 accepted</w:t>
            </w:r>
          </w:p>
        </w:tc>
      </w:tr>
      <w:tr>
        <w:trPr>
          <w:cantSplit/>
        </w:trPr>
        <w:tc>
          <w:tcPr>
            <w:tcW w:type="dxa" w:w="1224"/>
            <w:shd w:fill="F0F3FA"/>
            <w:tcMar>
              <w:top w:w="90" w:type="dxa"/>
              <w:bottom w:w="90" w:type="dxa"/>
              <w:left w:w="90" w:type="dxa"/>
              <w:right w:w="90" w:type="dxa"/>
            </w:tcMar>
          </w:tcPr>
          <w:p>
            <w:pPr>
              <w:spacing w:after="0"/>
            </w:pPr>
            <w:r>
              <w:rPr>
                <w:b w:val="0"/>
                <w:color w:val="000000"/>
                <w:sz w:val="20"/>
              </w:rPr>
              <w:t>B04</w:t>
            </w:r>
          </w:p>
        </w:tc>
        <w:tc>
          <w:tcPr>
            <w:tcW w:type="dxa" w:w="6408"/>
            <w:shd w:fill="F0F3FA"/>
            <w:tcMar>
              <w:top w:w="90" w:type="dxa"/>
              <w:bottom w:w="90" w:type="dxa"/>
              <w:left w:w="90" w:type="dxa"/>
              <w:right w:w="90" w:type="dxa"/>
            </w:tcMar>
          </w:tcPr>
          <w:p>
            <w:pPr>
              <w:spacing w:after="0"/>
            </w:pPr>
            <w:r>
              <w:rPr>
                <w:b w:val="0"/>
                <w:color w:val="000000"/>
                <w:sz w:val="20"/>
              </w:rPr>
              <w:t>Catalogue and stock management</w:t>
            </w:r>
          </w:p>
        </w:tc>
        <w:tc>
          <w:tcPr>
            <w:tcW w:type="dxa" w:w="2448"/>
            <w:shd w:fill="F0F3FA"/>
            <w:tcMar>
              <w:top w:w="90" w:type="dxa"/>
              <w:bottom w:w="90" w:type="dxa"/>
              <w:left w:w="90" w:type="dxa"/>
              <w:right w:w="90" w:type="dxa"/>
            </w:tcMar>
          </w:tcPr>
          <w:p>
            <w:pPr>
              <w:spacing w:after="0"/>
            </w:pPr>
            <w:r>
              <w:rPr>
                <w:b w:val="0"/>
                <w:color w:val="000000"/>
                <w:sz w:val="20"/>
              </w:rPr>
              <w:t>B03 accepted</w:t>
            </w:r>
          </w:p>
        </w:tc>
      </w:tr>
      <w:tr>
        <w:trPr>
          <w:cantSplit/>
        </w:trPr>
        <w:tc>
          <w:tcPr>
            <w:tcW w:type="dxa" w:w="1224"/>
            <w:shd w:fill="FFFFFF"/>
            <w:tcMar>
              <w:top w:w="90" w:type="dxa"/>
              <w:bottom w:w="90" w:type="dxa"/>
              <w:left w:w="90" w:type="dxa"/>
              <w:right w:w="90" w:type="dxa"/>
            </w:tcMar>
          </w:tcPr>
          <w:p>
            <w:pPr>
              <w:spacing w:after="0"/>
            </w:pPr>
            <w:r>
              <w:rPr>
                <w:b w:val="0"/>
                <w:color w:val="000000"/>
                <w:sz w:val="20"/>
              </w:rPr>
              <w:t>B05</w:t>
            </w:r>
          </w:p>
        </w:tc>
        <w:tc>
          <w:tcPr>
            <w:tcW w:type="dxa" w:w="6408"/>
            <w:shd w:fill="FFFFFF"/>
            <w:tcMar>
              <w:top w:w="90" w:type="dxa"/>
              <w:bottom w:w="90" w:type="dxa"/>
              <w:left w:w="90" w:type="dxa"/>
              <w:right w:w="90" w:type="dxa"/>
            </w:tcMar>
          </w:tcPr>
          <w:p>
            <w:pPr>
              <w:spacing w:after="0"/>
            </w:pPr>
            <w:r>
              <w:rPr>
                <w:b w:val="0"/>
                <w:color w:val="000000"/>
                <w:sz w:val="20"/>
              </w:rPr>
              <w:t>Baskets and delivery quotations</w:t>
            </w:r>
          </w:p>
        </w:tc>
        <w:tc>
          <w:tcPr>
            <w:tcW w:type="dxa" w:w="2448"/>
            <w:shd w:fill="FFFFFF"/>
            <w:tcMar>
              <w:top w:w="90" w:type="dxa"/>
              <w:bottom w:w="90" w:type="dxa"/>
              <w:left w:w="90" w:type="dxa"/>
              <w:right w:w="90" w:type="dxa"/>
            </w:tcMar>
          </w:tcPr>
          <w:p>
            <w:pPr>
              <w:spacing w:after="0"/>
            </w:pPr>
            <w:r>
              <w:rPr>
                <w:b w:val="0"/>
                <w:color w:val="000000"/>
                <w:sz w:val="20"/>
              </w:rPr>
              <w:t>B04 accepted</w:t>
            </w:r>
          </w:p>
        </w:tc>
      </w:tr>
      <w:tr>
        <w:trPr>
          <w:cantSplit/>
        </w:trPr>
        <w:tc>
          <w:tcPr>
            <w:tcW w:type="dxa" w:w="1224"/>
            <w:shd w:fill="F0F3FA"/>
            <w:tcMar>
              <w:top w:w="90" w:type="dxa"/>
              <w:bottom w:w="90" w:type="dxa"/>
              <w:left w:w="90" w:type="dxa"/>
              <w:right w:w="90" w:type="dxa"/>
            </w:tcMar>
          </w:tcPr>
          <w:p>
            <w:pPr>
              <w:spacing w:after="0"/>
            </w:pPr>
            <w:r>
              <w:rPr>
                <w:b w:val="0"/>
                <w:color w:val="000000"/>
                <w:sz w:val="20"/>
              </w:rPr>
              <w:t>B06</w:t>
            </w:r>
          </w:p>
        </w:tc>
        <w:tc>
          <w:tcPr>
            <w:tcW w:type="dxa" w:w="6408"/>
            <w:shd w:fill="F0F3FA"/>
            <w:tcMar>
              <w:top w:w="90" w:type="dxa"/>
              <w:bottom w:w="90" w:type="dxa"/>
              <w:left w:w="90" w:type="dxa"/>
              <w:right w:w="90" w:type="dxa"/>
            </w:tcMar>
          </w:tcPr>
          <w:p>
            <w:pPr>
              <w:spacing w:after="0"/>
            </w:pPr>
            <w:r>
              <w:rPr>
                <w:b w:val="0"/>
                <w:color w:val="000000"/>
                <w:sz w:val="20"/>
              </w:rPr>
              <w:t>Orders and inventory reservations</w:t>
            </w:r>
          </w:p>
        </w:tc>
        <w:tc>
          <w:tcPr>
            <w:tcW w:type="dxa" w:w="2448"/>
            <w:shd w:fill="F0F3FA"/>
            <w:tcMar>
              <w:top w:w="90" w:type="dxa"/>
              <w:bottom w:w="90" w:type="dxa"/>
              <w:left w:w="90" w:type="dxa"/>
              <w:right w:w="90" w:type="dxa"/>
            </w:tcMar>
          </w:tcPr>
          <w:p>
            <w:pPr>
              <w:spacing w:after="0"/>
            </w:pPr>
            <w:r>
              <w:rPr>
                <w:b w:val="0"/>
                <w:color w:val="000000"/>
                <w:sz w:val="20"/>
              </w:rPr>
              <w:t>B05 accepted</w:t>
            </w:r>
          </w:p>
        </w:tc>
      </w:tr>
      <w:tr>
        <w:trPr>
          <w:cantSplit/>
        </w:trPr>
        <w:tc>
          <w:tcPr>
            <w:tcW w:type="dxa" w:w="1224"/>
            <w:shd w:fill="FFFFFF"/>
            <w:tcMar>
              <w:top w:w="90" w:type="dxa"/>
              <w:bottom w:w="90" w:type="dxa"/>
              <w:left w:w="90" w:type="dxa"/>
              <w:right w:w="90" w:type="dxa"/>
            </w:tcMar>
          </w:tcPr>
          <w:p>
            <w:pPr>
              <w:spacing w:after="0"/>
            </w:pPr>
            <w:r>
              <w:rPr>
                <w:b w:val="0"/>
                <w:color w:val="000000"/>
                <w:sz w:val="20"/>
              </w:rPr>
              <w:t>B07</w:t>
            </w:r>
          </w:p>
        </w:tc>
        <w:tc>
          <w:tcPr>
            <w:tcW w:type="dxa" w:w="6408"/>
            <w:shd w:fill="FFFFFF"/>
            <w:tcMar>
              <w:top w:w="90" w:type="dxa"/>
              <w:bottom w:w="90" w:type="dxa"/>
              <w:left w:w="90" w:type="dxa"/>
              <w:right w:w="90" w:type="dxa"/>
            </w:tcMar>
          </w:tcPr>
          <w:p>
            <w:pPr>
              <w:spacing w:after="0"/>
            </w:pPr>
            <w:r>
              <w:rPr>
                <w:b w:val="0"/>
                <w:color w:val="000000"/>
                <w:sz w:val="20"/>
              </w:rPr>
              <w:t>Paystack payments and paid receipts</w:t>
            </w:r>
          </w:p>
        </w:tc>
        <w:tc>
          <w:tcPr>
            <w:tcW w:type="dxa" w:w="2448"/>
            <w:shd w:fill="FFFFFF"/>
            <w:tcMar>
              <w:top w:w="90" w:type="dxa"/>
              <w:bottom w:w="90" w:type="dxa"/>
              <w:left w:w="90" w:type="dxa"/>
              <w:right w:w="90" w:type="dxa"/>
            </w:tcMar>
          </w:tcPr>
          <w:p>
            <w:pPr>
              <w:spacing w:after="0"/>
            </w:pPr>
            <w:r>
              <w:rPr>
                <w:b w:val="0"/>
                <w:color w:val="000000"/>
                <w:sz w:val="20"/>
              </w:rPr>
              <w:t>B06 accepted</w:t>
            </w:r>
          </w:p>
        </w:tc>
      </w:tr>
      <w:tr>
        <w:trPr>
          <w:cantSplit/>
        </w:trPr>
        <w:tc>
          <w:tcPr>
            <w:tcW w:type="dxa" w:w="1224"/>
            <w:shd w:fill="F0F3FA"/>
            <w:tcMar>
              <w:top w:w="90" w:type="dxa"/>
              <w:bottom w:w="90" w:type="dxa"/>
              <w:left w:w="90" w:type="dxa"/>
              <w:right w:w="90" w:type="dxa"/>
            </w:tcMar>
          </w:tcPr>
          <w:p>
            <w:pPr>
              <w:spacing w:after="0"/>
            </w:pPr>
            <w:r>
              <w:rPr>
                <w:b w:val="0"/>
                <w:color w:val="000000"/>
                <w:sz w:val="20"/>
              </w:rPr>
              <w:t>B08</w:t>
            </w:r>
          </w:p>
        </w:tc>
        <w:tc>
          <w:tcPr>
            <w:tcW w:type="dxa" w:w="6408"/>
            <w:shd w:fill="F0F3FA"/>
            <w:tcMar>
              <w:top w:w="90" w:type="dxa"/>
              <w:bottom w:w="90" w:type="dxa"/>
              <w:left w:w="90" w:type="dxa"/>
              <w:right w:w="90" w:type="dxa"/>
            </w:tcMar>
          </w:tcPr>
          <w:p>
            <w:pPr>
              <w:spacing w:after="0"/>
            </w:pPr>
            <w:r>
              <w:rPr>
                <w:b w:val="0"/>
                <w:color w:val="000000"/>
                <w:sz w:val="20"/>
              </w:rPr>
              <w:t>Fulfilment returns and refunds</w:t>
            </w:r>
          </w:p>
        </w:tc>
        <w:tc>
          <w:tcPr>
            <w:tcW w:type="dxa" w:w="2448"/>
            <w:shd w:fill="F0F3FA"/>
            <w:tcMar>
              <w:top w:w="90" w:type="dxa"/>
              <w:bottom w:w="90" w:type="dxa"/>
              <w:left w:w="90" w:type="dxa"/>
              <w:right w:w="90" w:type="dxa"/>
            </w:tcMar>
          </w:tcPr>
          <w:p>
            <w:pPr>
              <w:spacing w:after="0"/>
            </w:pPr>
            <w:r>
              <w:rPr>
                <w:b w:val="0"/>
                <w:color w:val="000000"/>
                <w:sz w:val="20"/>
              </w:rPr>
              <w:t>B07 accepted</w:t>
            </w:r>
          </w:p>
        </w:tc>
      </w:tr>
      <w:tr>
        <w:trPr>
          <w:cantSplit/>
        </w:trPr>
        <w:tc>
          <w:tcPr>
            <w:tcW w:type="dxa" w:w="1224"/>
            <w:shd w:fill="FFFFFF"/>
            <w:tcMar>
              <w:top w:w="90" w:type="dxa"/>
              <w:bottom w:w="90" w:type="dxa"/>
              <w:left w:w="90" w:type="dxa"/>
              <w:right w:w="90" w:type="dxa"/>
            </w:tcMar>
          </w:tcPr>
          <w:p>
            <w:pPr>
              <w:spacing w:after="0"/>
            </w:pPr>
            <w:r>
              <w:rPr>
                <w:b w:val="0"/>
                <w:color w:val="000000"/>
                <w:sz w:val="20"/>
              </w:rPr>
              <w:t>B09</w:t>
            </w:r>
          </w:p>
        </w:tc>
        <w:tc>
          <w:tcPr>
            <w:tcW w:type="dxa" w:w="6408"/>
            <w:shd w:fill="FFFFFF"/>
            <w:tcMar>
              <w:top w:w="90" w:type="dxa"/>
              <w:bottom w:w="90" w:type="dxa"/>
              <w:left w:w="90" w:type="dxa"/>
              <w:right w:w="90" w:type="dxa"/>
            </w:tcMar>
          </w:tcPr>
          <w:p>
            <w:pPr>
              <w:spacing w:after="0"/>
            </w:pPr>
            <w:r>
              <w:rPr>
                <w:b w:val="0"/>
                <w:color w:val="000000"/>
                <w:sz w:val="20"/>
              </w:rPr>
              <w:t>Seller earnings and payouts</w:t>
            </w:r>
          </w:p>
        </w:tc>
        <w:tc>
          <w:tcPr>
            <w:tcW w:type="dxa" w:w="2448"/>
            <w:shd w:fill="FFFFFF"/>
            <w:tcMar>
              <w:top w:w="90" w:type="dxa"/>
              <w:bottom w:w="90" w:type="dxa"/>
              <w:left w:w="90" w:type="dxa"/>
              <w:right w:w="90" w:type="dxa"/>
            </w:tcMar>
          </w:tcPr>
          <w:p>
            <w:pPr>
              <w:spacing w:after="0"/>
            </w:pPr>
            <w:r>
              <w:rPr>
                <w:b w:val="0"/>
                <w:color w:val="000000"/>
                <w:sz w:val="20"/>
              </w:rPr>
              <w:t>B08 accepted</w:t>
            </w:r>
          </w:p>
        </w:tc>
      </w:tr>
      <w:tr>
        <w:trPr>
          <w:cantSplit/>
        </w:trPr>
        <w:tc>
          <w:tcPr>
            <w:tcW w:type="dxa" w:w="1224"/>
            <w:shd w:fill="F0F3FA"/>
            <w:tcMar>
              <w:top w:w="90" w:type="dxa"/>
              <w:bottom w:w="90" w:type="dxa"/>
              <w:left w:w="90" w:type="dxa"/>
              <w:right w:w="90" w:type="dxa"/>
            </w:tcMar>
          </w:tcPr>
          <w:p>
            <w:pPr>
              <w:spacing w:after="0"/>
            </w:pPr>
            <w:r>
              <w:rPr>
                <w:b w:val="0"/>
                <w:color w:val="000000"/>
                <w:sz w:val="20"/>
              </w:rPr>
              <w:t>B10</w:t>
            </w:r>
          </w:p>
        </w:tc>
        <w:tc>
          <w:tcPr>
            <w:tcW w:type="dxa" w:w="6408"/>
            <w:shd w:fill="F0F3FA"/>
            <w:tcMar>
              <w:top w:w="90" w:type="dxa"/>
              <w:bottom w:w="90" w:type="dxa"/>
              <w:left w:w="90" w:type="dxa"/>
              <w:right w:w="90" w:type="dxa"/>
            </w:tcMar>
          </w:tcPr>
          <w:p>
            <w:pPr>
              <w:spacing w:after="0"/>
            </w:pPr>
            <w:r>
              <w:rPr>
                <w:b w:val="0"/>
                <w:color w:val="000000"/>
                <w:sz w:val="20"/>
              </w:rPr>
              <w:t>Reviews merchandising and reporting</w:t>
            </w:r>
          </w:p>
        </w:tc>
        <w:tc>
          <w:tcPr>
            <w:tcW w:type="dxa" w:w="2448"/>
            <w:shd w:fill="F0F3FA"/>
            <w:tcMar>
              <w:top w:w="90" w:type="dxa"/>
              <w:bottom w:w="90" w:type="dxa"/>
              <w:left w:w="90" w:type="dxa"/>
              <w:right w:w="90" w:type="dxa"/>
            </w:tcMar>
          </w:tcPr>
          <w:p>
            <w:pPr>
              <w:spacing w:after="0"/>
            </w:pPr>
            <w:r>
              <w:rPr>
                <w:b w:val="0"/>
                <w:color w:val="000000"/>
                <w:sz w:val="20"/>
              </w:rPr>
              <w:t>B09 accepted</w:t>
            </w:r>
          </w:p>
        </w:tc>
      </w:tr>
      <w:tr>
        <w:trPr>
          <w:cantSplit/>
        </w:trPr>
        <w:tc>
          <w:tcPr>
            <w:tcW w:type="dxa" w:w="1224"/>
            <w:shd w:fill="FFFFFF"/>
            <w:tcMar>
              <w:top w:w="90" w:type="dxa"/>
              <w:bottom w:w="90" w:type="dxa"/>
              <w:left w:w="90" w:type="dxa"/>
              <w:right w:w="90" w:type="dxa"/>
            </w:tcMar>
          </w:tcPr>
          <w:p>
            <w:pPr>
              <w:spacing w:after="0"/>
            </w:pPr>
            <w:r>
              <w:rPr>
                <w:b w:val="0"/>
                <w:color w:val="000000"/>
                <w:sz w:val="20"/>
              </w:rPr>
              <w:t>B11</w:t>
            </w:r>
          </w:p>
        </w:tc>
        <w:tc>
          <w:tcPr>
            <w:tcW w:type="dxa" w:w="6408"/>
            <w:shd w:fill="FFFFFF"/>
            <w:tcMar>
              <w:top w:w="90" w:type="dxa"/>
              <w:bottom w:w="90" w:type="dxa"/>
              <w:left w:w="90" w:type="dxa"/>
              <w:right w:w="90" w:type="dxa"/>
            </w:tcMar>
          </w:tcPr>
          <w:p>
            <w:pPr>
              <w:spacing w:after="0"/>
            </w:pPr>
            <w:r>
              <w:rPr>
                <w:b w:val="0"/>
                <w:color w:val="000000"/>
                <w:sz w:val="20"/>
              </w:rPr>
              <w:t>Realtime support and notifications</w:t>
            </w:r>
          </w:p>
        </w:tc>
        <w:tc>
          <w:tcPr>
            <w:tcW w:type="dxa" w:w="2448"/>
            <w:shd w:fill="FFFFFF"/>
            <w:tcMar>
              <w:top w:w="90" w:type="dxa"/>
              <w:bottom w:w="90" w:type="dxa"/>
              <w:left w:w="90" w:type="dxa"/>
              <w:right w:w="90" w:type="dxa"/>
            </w:tcMar>
          </w:tcPr>
          <w:p>
            <w:pPr>
              <w:spacing w:after="0"/>
            </w:pPr>
            <w:r>
              <w:rPr>
                <w:b w:val="0"/>
                <w:color w:val="000000"/>
                <w:sz w:val="20"/>
              </w:rPr>
              <w:t>B10 accepted</w:t>
            </w:r>
          </w:p>
        </w:tc>
      </w:tr>
      <w:tr>
        <w:trPr>
          <w:cantSplit/>
        </w:trPr>
        <w:tc>
          <w:tcPr>
            <w:tcW w:type="dxa" w:w="1224"/>
            <w:shd w:fill="F0F3FA"/>
            <w:tcMar>
              <w:top w:w="90" w:type="dxa"/>
              <w:bottom w:w="90" w:type="dxa"/>
              <w:left w:w="90" w:type="dxa"/>
              <w:right w:w="90" w:type="dxa"/>
            </w:tcMar>
          </w:tcPr>
          <w:p>
            <w:pPr>
              <w:spacing w:after="0"/>
            </w:pPr>
            <w:r>
              <w:rPr>
                <w:b w:val="0"/>
                <w:color w:val="000000"/>
                <w:sz w:val="20"/>
              </w:rPr>
              <w:t>B12</w:t>
            </w:r>
          </w:p>
        </w:tc>
        <w:tc>
          <w:tcPr>
            <w:tcW w:type="dxa" w:w="6408"/>
            <w:shd w:fill="F0F3FA"/>
            <w:tcMar>
              <w:top w:w="90" w:type="dxa"/>
              <w:bottom w:w="90" w:type="dxa"/>
              <w:left w:w="90" w:type="dxa"/>
              <w:right w:w="90" w:type="dxa"/>
            </w:tcMar>
          </w:tcPr>
          <w:p>
            <w:pPr>
              <w:spacing w:after="0"/>
            </w:pPr>
            <w:r>
              <w:rPr>
                <w:b w:val="0"/>
                <w:color w:val="000000"/>
                <w:sz w:val="20"/>
              </w:rPr>
              <w:t>Release hardening and backend handover</w:t>
            </w:r>
          </w:p>
        </w:tc>
        <w:tc>
          <w:tcPr>
            <w:tcW w:type="dxa" w:w="2448"/>
            <w:shd w:fill="F0F3FA"/>
            <w:tcMar>
              <w:top w:w="90" w:type="dxa"/>
              <w:bottom w:w="90" w:type="dxa"/>
              <w:left w:w="90" w:type="dxa"/>
              <w:right w:w="90" w:type="dxa"/>
            </w:tcMar>
          </w:tcPr>
          <w:p>
            <w:pPr>
              <w:spacing w:after="0"/>
            </w:pPr>
            <w:r>
              <w:rPr>
                <w:b w:val="0"/>
                <w:color w:val="000000"/>
                <w:sz w:val="20"/>
              </w:rPr>
              <w:t>B11 accepted</w:t>
            </w:r>
          </w:p>
        </w:tc>
      </w:tr>
    </w:tbl>
    <w:p>
      <w:pPr>
        <w:spacing w:after="40" w:before="0" w:line="60" w:lineRule="exact"/>
      </w:pPr>
    </w:p>
    <w:p>
      <w:r>
        <w:t>This is an execution sequence, not a fixed delivery calendar. Estimate each milestone after inspecting the repository and resolving its policy gates. The PRD project timeline includes frontend work and other delivery activities; it is not a backend-only time commitment.</w:t>
      </w:r>
    </w:p>
    <w:p>
      <w:pPr>
        <w:pStyle w:val="Heading2"/>
      </w:pPr>
      <w:r>
        <w:t>Review responsibilities</w:t>
      </w:r>
    </w:p>
    <w:p>
      <w:r>
        <w:t>A senior backend engineer owns implementation and architecture. QA reviews functional, negative and recovery evidence; the product owner resolves policies and accepts milestones. Finance reviews commissions, refunds and payout controls. Deployment and database expertise is needed for release checks. One person may hold multiple roles, but finance approval must remain an explicit permission in the system.</w:t>
      </w:r>
    </w:p>
    <w:p>
      <w:pPr>
        <w:pStyle w:val="Heading1"/>
        <w:pageBreakBefore/>
      </w:pPr>
      <w:r>
        <w:t>B01 Foundation and test infrastructure</w:t>
      </w:r>
    </w:p>
    <w:p>
      <w:r>
        <w:t>Initial status: NOT_STARTED   |   Entry gate: repository and PRD available.</w:t>
      </w:r>
    </w:p>
    <w:p>
      <w:pPr>
        <w:pStyle w:val="Heading2"/>
      </w:pPr>
      <w:r>
        <w:t>Scope to implement</w:t>
      </w:r>
    </w:p>
    <w:p>
      <w:r>
        <w:t>Establish the Express TypeScript application, configuration validation, structured logging and request IDs, error handling, API versioning, MySQL migrations, health and readiness endpoints, CI, and Mocha plus Supertest test harness. Introduce durable job and outbox primitives only as needed. Document architecture decisions and the API response envelope before later endpoints depend on it.</w:t>
      </w:r>
    </w:p>
    <w:p>
      <w:pPr>
        <w:pStyle w:val="Heading2"/>
      </w:pPr>
      <w:r>
        <w:t>Tests required for completion</w:t>
      </w:r>
    </w:p>
    <w:p>
      <w:r>
        <w:t>Boot fails safely when required configuration is missing; readiness fails when MySQL is unavailable; clean migrations apply to an empty isolated MySQL database; errors omit secrets; CI runs lint, type checking and tests.</w:t>
      </w:r>
    </w:p>
    <w:p>
      <w:pPr>
        <w:pStyle w:val="Heading2"/>
      </w:pPr>
      <w:r>
        <w:t>Postman sample</w:t>
      </w:r>
    </w:p>
    <w:p>
      <w:r>
        <w:t>GET /health; GET /ready</w:t>
      </w:r>
    </w:p>
    <w:p>
      <w:r>
        <w:t>Sample request: GET /health. Expected success status: 200. No request body.</w:t>
      </w:r>
    </w:p>
    <w:p>
      <w:r>
        <w:t>Use the matching folder in the sample collection. Supply seeded IDs and a role appropriate test token; add validation, ownership and recovery cases when routes exist. Provider webhook tests require genuine documented signature handling and automated fixtures, not a copied secret in this planning document.</w:t>
      </w:r>
    </w:p>
    <w:p>
      <w:pPr>
        <w:pStyle w:val="Heading2"/>
      </w:pPr>
      <w:r>
        <w:t>Milestone exit and next instruction</w:t>
      </w:r>
    </w:p>
    <w:p>
      <w:r>
        <w:t>Produce B01-summary.md, B01-test-results.md, evidence files and actual Postman samples. Update the tracker without claiming owner acceptance. Return the complete B02 prompt and stop.</w:t>
      </w:r>
    </w:p>
    <w:p>
      <w:r>
        <w:t>Copy the full “B01 Foundation and test infrastructure” section from Codex_Backend_Milestone_Prompts.md. It contains this scope, acceptance evidence, engineering rules and the mandatory closeout sequence.</w:t>
      </w:r>
    </w:p>
    <w:p>
      <w:pPr>
        <w:pStyle w:val="Heading1"/>
        <w:pageBreakBefore/>
      </w:pPr>
      <w:r>
        <w:t>B02 Authentication and customer accounts</w:t>
      </w:r>
    </w:p>
    <w:p>
      <w:r>
        <w:t>Initial status: NOT_STARTED   |   Entry gate: B01 accepted.</w:t>
      </w:r>
    </w:p>
    <w:p>
      <w:pPr>
        <w:pStyle w:val="Heading2"/>
      </w:pPr>
      <w:r>
        <w:t>Scope to implement</w:t>
      </w:r>
    </w:p>
    <w:p>
      <w:r>
        <w:t>Implement registration, email verification, login, logout, refresh token rotation and revocation, password reset, roles and saved addresses. Hash passwords with a suitable password hashing library. Use a transactional email adapter with local fake transport and durable retry jobs. Define token storage and cookie or bearer strategy in an architecture decision.</w:t>
      </w:r>
    </w:p>
    <w:p>
      <w:pPr>
        <w:pStyle w:val="Heading2"/>
      </w:pPr>
      <w:r>
        <w:t>Tests required for completion</w:t>
      </w:r>
    </w:p>
    <w:p>
      <w:r>
        <w:t>Reject duplicate registration and invalid input; expired verification and reset tokens fail; reset tokens are single use; rotated refresh tokens cannot be reused; unauthenticated and forbidden access fail; customers cannot read another customer’s addresses.</w:t>
      </w:r>
    </w:p>
    <w:p>
      <w:pPr>
        <w:pStyle w:val="Heading2"/>
      </w:pPr>
      <w:r>
        <w:t>Postman sample</w:t>
      </w:r>
    </w:p>
    <w:p>
      <w:r>
        <w:t>POST /auth/register; POST /auth/login; GET /me</w:t>
      </w:r>
    </w:p>
    <w:p>
      <w:r>
        <w:t>Sample request: POST /auth/register. Expected success status: 201. Body: {"name": "Test Customer", "email": "customer@example.test", "password": "ReplaceWithUniqueTestPassword!"}</w:t>
      </w:r>
    </w:p>
    <w:p>
      <w:r>
        <w:t>Use the matching folder in the sample collection. Supply seeded IDs and a role appropriate test token; add validation, ownership and recovery cases when routes exist. Provider webhook tests require genuine documented signature handling and automated fixtures, not a copied secret in this planning document.</w:t>
      </w:r>
    </w:p>
    <w:p>
      <w:pPr>
        <w:pStyle w:val="Heading2"/>
      </w:pPr>
      <w:r>
        <w:t>Milestone exit and next instruction</w:t>
      </w:r>
    </w:p>
    <w:p>
      <w:r>
        <w:t>Produce B02-summary.md, B02-test-results.md, evidence files and actual Postman samples. Update the tracker without claiming owner acceptance. Return the complete B03 prompt and stop.</w:t>
      </w:r>
    </w:p>
    <w:p>
      <w:r>
        <w:t>Copy the full “B02 Authentication and customer accounts” section from Codex_Backend_Milestone_Prompts.md. It contains this scope, acceptance evidence, engineering rules and the mandatory closeout sequence.</w:t>
      </w:r>
    </w:p>
    <w:p>
      <w:pPr>
        <w:pStyle w:val="Heading1"/>
        <w:pageBreakBefore/>
      </w:pPr>
      <w:r>
        <w:t>B03 Seller onboarding and identity checks</w:t>
      </w:r>
    </w:p>
    <w:p>
      <w:r>
        <w:t>Initial status: NOT_STARTED   |   Entry gate: B02 accepted.</w:t>
      </w:r>
    </w:p>
    <w:p>
      <w:pPr>
        <w:pStyle w:val="Heading2"/>
      </w:pPr>
      <w:r>
        <w:t>Scope to implement</w:t>
      </w:r>
    </w:p>
    <w:p>
      <w:r>
        <w:t>Create seller profiles, consent records and one agreed Dojah verification workflow through an adapter. Keep verification pending, verified, failed and manual review separate from admin approval and suspension. Store provider references and minimal identity data; redact sensitive identifiers. Never invent the chosen NIN or BVN check.</w:t>
      </w:r>
    </w:p>
    <w:p>
      <w:pPr>
        <w:pStyle w:val="Heading2"/>
      </w:pPr>
      <w:r>
        <w:t>Tests required for completion</w:t>
      </w:r>
    </w:p>
    <w:p>
      <w:r>
        <w:t>Mock success, rejection, timeout and duplicate callbacks; verify provider requests follow current documented contract; sellers cannot approve themselves; suspended sellers lose restricted capabilities; audit records capture approval decisions without raw identity values.</w:t>
      </w:r>
    </w:p>
    <w:p>
      <w:pPr>
        <w:pStyle w:val="Heading2"/>
      </w:pPr>
      <w:r>
        <w:t>Postman sample</w:t>
      </w:r>
    </w:p>
    <w:p>
      <w:r>
        <w:t>POST /sellers; POST /sellers/me/verification; PATCH /admin/sellers/:sellerId/status</w:t>
      </w:r>
    </w:p>
    <w:p>
      <w:r>
        <w:t>Sample request: POST /sellers. Expected success status: 201. Body: {"businessName": "Example Hair Seller"}</w:t>
      </w:r>
    </w:p>
    <w:p>
      <w:r>
        <w:t>Use the matching folder in the sample collection. Supply seeded IDs and a role appropriate test token; add validation, ownership and recovery cases when routes exist. Provider webhook tests require genuine documented signature handling and automated fixtures, not a copied secret in this planning document.</w:t>
      </w:r>
    </w:p>
    <w:p>
      <w:pPr>
        <w:pStyle w:val="Heading2"/>
      </w:pPr>
      <w:r>
        <w:t>Milestone exit and next instruction</w:t>
      </w:r>
    </w:p>
    <w:p>
      <w:r>
        <w:t>Produce B03-summary.md, B03-test-results.md, evidence files and actual Postman samples. Update the tracker without claiming owner acceptance. Return the complete B04 prompt and stop.</w:t>
      </w:r>
    </w:p>
    <w:p>
      <w:r>
        <w:t>Copy the full “B03 Seller onboarding and identity checks” section from Codex_Backend_Milestone_Prompts.md. It contains this scope, acceptance evidence, engineering rules and the mandatory closeout sequence.</w:t>
      </w:r>
    </w:p>
    <w:p>
      <w:pPr>
        <w:pStyle w:val="Heading1"/>
        <w:pageBreakBefore/>
      </w:pPr>
      <w:r>
        <w:t>B04 Catalogue and stock management</w:t>
      </w:r>
    </w:p>
    <w:p>
      <w:r>
        <w:t>Initial status: NOT_STARTED   |   Entry gate: B03 accepted.</w:t>
      </w:r>
    </w:p>
    <w:p>
      <w:pPr>
        <w:pStyle w:val="Heading2"/>
      </w:pPr>
      <w:r>
        <w:t>Scope to implement</w:t>
      </w:r>
    </w:p>
    <w:p>
      <w:r>
        <w:t>Implement categories, products, image metadata and secure upload handling, seller ownership, published status and stock adjustments. Provide pagination, search and price, brand, colour and size metadata filters; these are not selectable stock variants. Expose related products by category. Define popularity as paid units sold for later payment integration.</w:t>
      </w:r>
    </w:p>
    <w:p>
      <w:pPr>
        <w:pStyle w:val="Heading2"/>
      </w:pPr>
      <w:r>
        <w:t>Tests required for completion</w:t>
      </w:r>
    </w:p>
    <w:p>
      <w:r>
        <w:t>Validate upload types and size; prevent one seller changing another seller’s stock or products; concurrent adjustments preserve stock invariants; unpublished products stay hidden; sorting, filters and pagination produce stable results.</w:t>
      </w:r>
    </w:p>
    <w:p>
      <w:pPr>
        <w:pStyle w:val="Heading2"/>
      </w:pPr>
      <w:r>
        <w:t>Postman sample</w:t>
      </w:r>
    </w:p>
    <w:p>
      <w:r>
        <w:t>POST /seller/products; GET /products; PATCH /seller/products/:productId/stock</w:t>
      </w:r>
    </w:p>
    <w:p>
      <w:r>
        <w:t>Sample request: GET /products?page=1&amp;limit=20. Expected success status: 200. No request body.</w:t>
      </w:r>
    </w:p>
    <w:p>
      <w:r>
        <w:t>Use the matching folder in the sample collection. Supply seeded IDs and a role appropriate test token; add validation, ownership and recovery cases when routes exist. Provider webhook tests require genuine documented signature handling and automated fixtures, not a copied secret in this planning document.</w:t>
      </w:r>
    </w:p>
    <w:p>
      <w:pPr>
        <w:pStyle w:val="Heading2"/>
      </w:pPr>
      <w:r>
        <w:t>Milestone exit and next instruction</w:t>
      </w:r>
    </w:p>
    <w:p>
      <w:r>
        <w:t>Produce B04-summary.md, B04-test-results.md, evidence files and actual Postman samples. Update the tracker without claiming owner acceptance. Return the complete B05 prompt and stop.</w:t>
      </w:r>
    </w:p>
    <w:p>
      <w:r>
        <w:t>Copy the full “B04 Catalogue and stock management” section from Codex_Backend_Milestone_Prompts.md. It contains this scope, acceptance evidence, engineering rules and the mandatory closeout sequence.</w:t>
      </w:r>
    </w:p>
    <w:p>
      <w:pPr>
        <w:pStyle w:val="Heading1"/>
        <w:pageBreakBefore/>
      </w:pPr>
      <w:r>
        <w:t>B05 Baskets and delivery quotations</w:t>
      </w:r>
    </w:p>
    <w:p>
      <w:r>
        <w:t>Initial status: NOT_STARTED   |   Entry gate: B04 accepted.</w:t>
      </w:r>
    </w:p>
    <w:p>
      <w:pPr>
        <w:pStyle w:val="Heading2"/>
      </w:pPr>
      <w:r>
        <w:t>Scope to implement</w:t>
      </w:r>
    </w:p>
    <w:p>
      <w:r>
        <w:t>Support customer and guest baskets, secure guest credentials, login merge rules, Lagos delivery zones and pickup. Calculate item prices and delivery fees on the server. Quote NGN amounts in integer minor units; show USD only as indicative conversion with an admin rate and timestamp. Define mixed seller delivery allocation before checkout.</w:t>
      </w:r>
    </w:p>
    <w:p>
      <w:pPr>
        <w:pStyle w:val="Heading2"/>
      </w:pPr>
      <w:r>
        <w:t>Tests required for completion</w:t>
      </w:r>
    </w:p>
    <w:p>
      <w:r>
        <w:t>Reject unsupported addresses and stale prices; merge without duplicate quantities or bypassing limits; customer and guest baskets are isolated; totals round deterministically; quote expiry and unavailable stock are handled.</w:t>
      </w:r>
    </w:p>
    <w:p>
      <w:pPr>
        <w:pStyle w:val="Heading2"/>
      </w:pPr>
      <w:r>
        <w:t>Postman sample</w:t>
      </w:r>
    </w:p>
    <w:p>
      <w:r>
        <w:t>POST /baskets/items; POST /checkout/quotes</w:t>
      </w:r>
    </w:p>
    <w:p>
      <w:r>
        <w:t>Sample request: POST /checkout/quotes. Expected success status: 201. Body: {"deliveryMethod": "delivery", "zoneId": "{{zoneId}}", "addressId": "{{addressId}}"}</w:t>
      </w:r>
    </w:p>
    <w:p>
      <w:r>
        <w:t>Use the matching folder in the sample collection. Supply seeded IDs and a role appropriate test token; add validation, ownership and recovery cases when routes exist. Provider webhook tests require genuine documented signature handling and automated fixtures, not a copied secret in this planning document.</w:t>
      </w:r>
    </w:p>
    <w:p>
      <w:pPr>
        <w:pStyle w:val="Heading2"/>
      </w:pPr>
      <w:r>
        <w:t>Milestone exit and next instruction</w:t>
      </w:r>
    </w:p>
    <w:p>
      <w:r>
        <w:t>Produce B05-summary.md, B05-test-results.md, evidence files and actual Postman samples. Update the tracker without claiming owner acceptance. Return the complete B06 prompt and stop.</w:t>
      </w:r>
    </w:p>
    <w:p>
      <w:r>
        <w:t>Copy the full “B05 Baskets and delivery quotations” section from Codex_Backend_Milestone_Prompts.md. It contains this scope, acceptance evidence, engineering rules and the mandatory closeout sequence.</w:t>
      </w:r>
    </w:p>
    <w:p>
      <w:pPr>
        <w:pStyle w:val="Heading1"/>
        <w:pageBreakBefore/>
      </w:pPr>
      <w:r>
        <w:t>B06 Orders and inventory reservations</w:t>
      </w:r>
    </w:p>
    <w:p>
      <w:r>
        <w:t>Initial status: NOT_STARTED   |   Entry gate: B05 accepted.</w:t>
      </w:r>
    </w:p>
    <w:p>
      <w:pPr>
        <w:pStyle w:val="Heading2"/>
      </w:pPr>
      <w:r>
        <w:t>Scope to implement</w:t>
      </w:r>
    </w:p>
    <w:p>
      <w:r>
        <w:t>Create one customer order with seller suborders, immutable line prices and commission snapshots, guest tracking credentials, status transition rules and idempotent checkout. Reserve stock inside short MySQL transactions and release it after expiry or failure. Support controlled cash on delivery as awaiting collection. No provider network call belongs inside a long database transaction.</w:t>
      </w:r>
    </w:p>
    <w:p>
      <w:pPr>
        <w:pStyle w:val="Heading2"/>
      </w:pPr>
      <w:r>
        <w:t>Tests required for completion</w:t>
      </w:r>
    </w:p>
    <w:p>
      <w:r>
        <w:t>Two simultaneous purchases of the last item yield only one reservation; repeated checkout keys return the same order; a failed transaction leaves no orphan suborders; expiry releases once; guest access requires its credential; invalid order transitions fail.</w:t>
      </w:r>
    </w:p>
    <w:p>
      <w:pPr>
        <w:pStyle w:val="Heading2"/>
      </w:pPr>
      <w:r>
        <w:t>Postman sample</w:t>
      </w:r>
    </w:p>
    <w:p>
      <w:r>
        <w:t>POST /orders; GET /orders/:orderId</w:t>
      </w:r>
    </w:p>
    <w:p>
      <w:r>
        <w:t>Sample request: POST /orders. Expected success status: 201. Body: {"quoteId": "{{quoteId}}", "paymentMethod": "paystack"}</w:t>
      </w:r>
    </w:p>
    <w:p>
      <w:r>
        <w:t>Use the matching folder in the sample collection. Supply seeded IDs and a role appropriate test token; add validation, ownership and recovery cases when routes exist. Provider webhook tests require genuine documented signature handling and automated fixtures, not a copied secret in this planning document.</w:t>
      </w:r>
    </w:p>
    <w:p>
      <w:pPr>
        <w:pStyle w:val="Heading2"/>
      </w:pPr>
      <w:r>
        <w:t>Milestone exit and next instruction</w:t>
      </w:r>
    </w:p>
    <w:p>
      <w:r>
        <w:t>Produce B06-summary.md, B06-test-results.md, evidence files and actual Postman samples. Update the tracker without claiming owner acceptance. Return the complete B07 prompt and stop.</w:t>
      </w:r>
    </w:p>
    <w:p>
      <w:r>
        <w:t>Copy the full “B06 Orders and inventory reservations” section from Codex_Backend_Milestone_Prompts.md. It contains this scope, acceptance evidence, engineering rules and the mandatory closeout sequence.</w:t>
      </w:r>
    </w:p>
    <w:p>
      <w:pPr>
        <w:pStyle w:val="Heading1"/>
        <w:pageBreakBefore/>
      </w:pPr>
      <w:r>
        <w:t>B07 Paystack payments and paid receipts</w:t>
      </w:r>
    </w:p>
    <w:p>
      <w:r>
        <w:t>Initial status: NOT_STARTED   |   Entry gate: B06 accepted.</w:t>
      </w:r>
    </w:p>
    <w:p>
      <w:pPr>
        <w:pStyle w:val="Heading2"/>
      </w:pPr>
      <w:r>
        <w:t>Scope to implement</w:t>
      </w:r>
    </w:p>
    <w:p>
      <w:r>
        <w:t>Initialize and verify Paystack NGN payments on the server. Validate amount, currency, reference and order association; verify signed raw body webhooks with the current Paystack contract. Deduplicate events and reconcile pending payments. Atomically mark paid, consume valid reservations, write ledger entries and enqueue emails and receipts. Flag late payments after reservation expiry for controlled refund or manual resolution.</w:t>
      </w:r>
    </w:p>
    <w:p>
      <w:pPr>
        <w:pStyle w:val="Heading2"/>
      </w:pPr>
      <w:r>
        <w:t>Tests required for completion</w:t>
      </w:r>
    </w:p>
    <w:p>
      <w:r>
        <w:t>Mock success, wrong amount, forged signature, duplicate events, callback tampering, provider timeout and crash recovery; no duplicate receipts or ledger entries; late payments cannot oversell. Run separate Paystack test mode acceptance when credentials exist.</w:t>
      </w:r>
    </w:p>
    <w:p>
      <w:pPr>
        <w:pStyle w:val="Heading2"/>
      </w:pPr>
      <w:r>
        <w:t>Postman sample</w:t>
      </w:r>
    </w:p>
    <w:p>
      <w:r>
        <w:t>POST /payments/initialize; POST /payments/verify; GET /orders/:orderId/receipt</w:t>
      </w:r>
    </w:p>
    <w:p>
      <w:r>
        <w:t>Sample request: POST /payments/initialize. Expected success status: 201. Body: {"orderId": "{{orderId}}"}</w:t>
      </w:r>
    </w:p>
    <w:p>
      <w:r>
        <w:t>Use the matching folder in the sample collection. Supply seeded IDs and a role appropriate test token; add validation, ownership and recovery cases when routes exist. Provider webhook tests require genuine documented signature handling and automated fixtures, not a copied secret in this planning document.</w:t>
      </w:r>
    </w:p>
    <w:p>
      <w:pPr>
        <w:pStyle w:val="Heading2"/>
      </w:pPr>
      <w:r>
        <w:t>Milestone exit and next instruction</w:t>
      </w:r>
    </w:p>
    <w:p>
      <w:r>
        <w:t>Produce B07-summary.md, B07-test-results.md, evidence files and actual Postman samples. Update the tracker without claiming owner acceptance. Return the complete B08 prompt and stop.</w:t>
      </w:r>
    </w:p>
    <w:p>
      <w:r>
        <w:t>Copy the full “B07 Paystack payments and paid receipts” section from Codex_Backend_Milestone_Prompts.md. It contains this scope, acceptance evidence, engineering rules and the mandatory closeout sequence.</w:t>
      </w:r>
    </w:p>
    <w:p>
      <w:pPr>
        <w:pStyle w:val="Heading1"/>
        <w:pageBreakBefore/>
      </w:pPr>
      <w:r>
        <w:t>B08 Fulfilment returns and refunds</w:t>
      </w:r>
    </w:p>
    <w:p>
      <w:r>
        <w:t>Initial status: NOT_STARTED   |   Entry gate: B07 accepted.</w:t>
      </w:r>
    </w:p>
    <w:p>
      <w:pPr>
        <w:pStyle w:val="Heading2"/>
      </w:pPr>
      <w:r>
        <w:t>Scope to implement</w:t>
      </w:r>
    </w:p>
    <w:p>
      <w:r>
        <w:t>Implement authorised processing, shipment, delivery and cancellation, Lagos delivery estimates and pickup status. Record and reconcile cash collection before COD earnings become eligible. Add return requests, admin review, partial and full refund lifecycles through the provider adapter, and auditable ledger reversals. Paid out earnings become recoverable balances handled by finance.</w:t>
      </w:r>
    </w:p>
    <w:p>
      <w:pPr>
        <w:pStyle w:val="Heading2"/>
      </w:pPr>
      <w:r>
        <w:t>Tests required for completion</w:t>
      </w:r>
    </w:p>
    <w:p>
      <w:r>
        <w:t>Reject delivery jumps and cross seller operations; COD cannot release uncollected funds; cancellation releases appropriate stock once; duplicate refund requests do not pay twice; partial refunds and commission reversals reconcile; delayed provider results remain pending.</w:t>
      </w:r>
    </w:p>
    <w:p>
      <w:pPr>
        <w:pStyle w:val="Heading2"/>
      </w:pPr>
      <w:r>
        <w:t>Postman sample</w:t>
      </w:r>
    </w:p>
    <w:p>
      <w:r>
        <w:t>PATCH /seller/orders/:orderId/status; POST /orders/:orderId/returns</w:t>
      </w:r>
    </w:p>
    <w:p>
      <w:r>
        <w:t>Sample request: POST /orders/{{orderId}}/returns. Expected success status: 201. Body: {"items": [{"orderItemId": "{{orderItemId}}", "quantity": 1}], "reason": "Item differs from description"}</w:t>
      </w:r>
    </w:p>
    <w:p>
      <w:r>
        <w:t>Use the matching folder in the sample collection. Supply seeded IDs and a role appropriate test token; add validation, ownership and recovery cases when routes exist. Provider webhook tests require genuine documented signature handling and automated fixtures, not a copied secret in this planning document.</w:t>
      </w:r>
    </w:p>
    <w:p>
      <w:pPr>
        <w:pStyle w:val="Heading2"/>
      </w:pPr>
      <w:r>
        <w:t>Milestone exit and next instruction</w:t>
      </w:r>
    </w:p>
    <w:p>
      <w:r>
        <w:t>Produce B08-summary.md, B08-test-results.md, evidence files and actual Postman samples. Update the tracker without claiming owner acceptance. Return the complete B09 prompt and stop.</w:t>
      </w:r>
    </w:p>
    <w:p>
      <w:r>
        <w:t>Copy the full “B08 Fulfilment returns and refunds” section from Codex_Backend_Milestone_Prompts.md. It contains this scope, acceptance evidence, engineering rules and the mandatory closeout sequence.</w:t>
      </w:r>
    </w:p>
    <w:p>
      <w:pPr>
        <w:pStyle w:val="Heading1"/>
        <w:pageBreakBefore/>
      </w:pPr>
      <w:r>
        <w:t>B09 Seller earnings and payouts</w:t>
      </w:r>
    </w:p>
    <w:p>
      <w:r>
        <w:t>Initial status: NOT_STARTED   |   Entry gate: B08 accepted.</w:t>
      </w:r>
    </w:p>
    <w:p>
      <w:pPr>
        <w:pStyle w:val="Heading2"/>
      </w:pPr>
      <w:r>
        <w:t>Scope to implement</w:t>
      </w:r>
    </w:p>
    <w:p>
      <w:r>
        <w:t>Implement append only monetary ledger entries, commission configuration snapshots, delivery and return hold release rules, available and held balances, finance approval and Paystack NGN transfer reconciliation. Use provider idempotency and a durable transfer reference. Unknown transfer outcomes remain pending until reconciled. Include refund recoveries without allowing negative available payouts.</w:t>
      </w:r>
    </w:p>
    <w:p>
      <w:pPr>
        <w:pStyle w:val="Heading2"/>
      </w:pPr>
      <w:r>
        <w:t>Tests required for completion</w:t>
      </w:r>
    </w:p>
    <w:p>
      <w:r>
        <w:t>Balances reconcile to orders, fees, commissions, refunds and transfers; held funds cannot be paid; replayed jobs do not duplicate transfers; timeout recovery queries the original transfer; rejected transfers restore eligibility exactly once; customer and seller roles cannot approve payouts.</w:t>
      </w:r>
    </w:p>
    <w:p>
      <w:pPr>
        <w:pStyle w:val="Heading2"/>
      </w:pPr>
      <w:r>
        <w:t>Postman sample</w:t>
      </w:r>
    </w:p>
    <w:p>
      <w:r>
        <w:t>GET /seller/earnings; POST /admin/payouts; GET /admin/payouts/:payoutId</w:t>
      </w:r>
    </w:p>
    <w:p>
      <w:r>
        <w:t>Sample request: GET /seller/earnings. Expected success status: 200. No request body.</w:t>
      </w:r>
    </w:p>
    <w:p>
      <w:r>
        <w:t>Use the matching folder in the sample collection. Supply seeded IDs and a role appropriate test token; add validation, ownership and recovery cases when routes exist. Provider webhook tests require genuine documented signature handling and automated fixtures, not a copied secret in this planning document.</w:t>
      </w:r>
    </w:p>
    <w:p>
      <w:pPr>
        <w:pStyle w:val="Heading2"/>
      </w:pPr>
      <w:r>
        <w:t>Milestone exit and next instruction</w:t>
      </w:r>
    </w:p>
    <w:p>
      <w:r>
        <w:t>Produce B09-summary.md, B09-test-results.md, evidence files and actual Postman samples. Update the tracker without claiming owner acceptance. Return the complete B10 prompt and stop.</w:t>
      </w:r>
    </w:p>
    <w:p>
      <w:r>
        <w:t>Copy the full “B09 Seller earnings and payouts” section from Codex_Backend_Milestone_Prompts.md. It contains this scope, acceptance evidence, engineering rules and the mandatory closeout sequence.</w:t>
      </w:r>
    </w:p>
    <w:p>
      <w:pPr>
        <w:pStyle w:val="Heading1"/>
        <w:pageBreakBefore/>
      </w:pPr>
      <w:r>
        <w:t>B10 Reviews merchandising and reporting</w:t>
      </w:r>
    </w:p>
    <w:p>
      <w:r>
        <w:t>Initial status: NOT_STARTED   |   Entry gate: B09 accepted.</w:t>
      </w:r>
    </w:p>
    <w:p>
      <w:pPr>
        <w:pStyle w:val="Heading2"/>
      </w:pPr>
      <w:r>
        <w:t>Scope to implement</w:t>
      </w:r>
    </w:p>
    <w:p>
      <w:r>
        <w:t>Add purchase linked reviews, moderation, category related products, banners and admin reports with safe CSV export. Calculate popularity from paid units. Separate gross sales, refunds, commissions, seller earnings and payout reports with documented accounting definitions and role permissions.</w:t>
      </w:r>
    </w:p>
    <w:p>
      <w:pPr>
        <w:pStyle w:val="Heading2"/>
      </w:pPr>
      <w:r>
        <w:t>Tests required for completion</w:t>
      </w:r>
    </w:p>
    <w:p>
      <w:r>
        <w:t>Only eligible purchasers review an item; moderation hides rejected content; refund and payout reports reconcile to ledger fixtures; export prevents spreadsheet formula injection; finance and support privileges remain distinct.</w:t>
      </w:r>
    </w:p>
    <w:p>
      <w:pPr>
        <w:pStyle w:val="Heading2"/>
      </w:pPr>
      <w:r>
        <w:t>Postman sample</w:t>
      </w:r>
    </w:p>
    <w:p>
      <w:r>
        <w:t>GET /products/:productId/reviews; POST /reviews; GET /admin/reports/sales</w:t>
      </w:r>
    </w:p>
    <w:p>
      <w:r>
        <w:t>Sample request: GET /products/{{productId}}/reviews. Expected success status: 200. No request body.</w:t>
      </w:r>
    </w:p>
    <w:p>
      <w:r>
        <w:t>Use the matching folder in the sample collection. Supply seeded IDs and a role appropriate test token; add validation, ownership and recovery cases when routes exist. Provider webhook tests require genuine documented signature handling and automated fixtures, not a copied secret in this planning document.</w:t>
      </w:r>
    </w:p>
    <w:p>
      <w:pPr>
        <w:pStyle w:val="Heading2"/>
      </w:pPr>
      <w:r>
        <w:t>Milestone exit and next instruction</w:t>
      </w:r>
    </w:p>
    <w:p>
      <w:r>
        <w:t>Produce B10-summary.md, B10-test-results.md, evidence files and actual Postman samples. Update the tracker without claiming owner acceptance. Return the complete B11 prompt and stop.</w:t>
      </w:r>
    </w:p>
    <w:p>
      <w:r>
        <w:t>Copy the full “B10 Reviews merchandising and reporting” section from Codex_Backend_Milestone_Prompts.md. It contains this scope, acceptance evidence, engineering rules and the mandatory closeout sequence.</w:t>
      </w:r>
    </w:p>
    <w:p>
      <w:pPr>
        <w:pStyle w:val="Heading1"/>
        <w:pageBreakBefore/>
      </w:pPr>
      <w:r>
        <w:t>B11 Realtime support and notifications</w:t>
      </w:r>
    </w:p>
    <w:p>
      <w:r>
        <w:t>Initial status: NOT_STARTED   |   Entry gate: B10 accepted.</w:t>
      </w:r>
    </w:p>
    <w:p>
      <w:pPr>
        <w:pStyle w:val="Heading2"/>
      </w:pPr>
      <w:r>
        <w:t>Scope to implement</w:t>
      </w:r>
    </w:p>
    <w:p>
      <w:r>
        <w:t>Implement persistent support threads and messages plus Socket.IO updates. Authenticate connections and room membership, acknowledge messages with client IDs, deduplicate retries and fetch missing history after reconnect. Persist first, emit through the outbox, and provide HTTP read fallback. Extend email delivery records and retries; marketing requires explicit opt in, suppression and unsubscribe. Split chat and marketing into reviewed substeps if needed.</w:t>
      </w:r>
    </w:p>
    <w:p>
      <w:pPr>
        <w:pStyle w:val="Heading2"/>
      </w:pPr>
      <w:r>
        <w:t>Tests required for completion</w:t>
      </w:r>
    </w:p>
    <w:p>
      <w:r>
        <w:t>Use socket.io-client integration tests for unauthorised joins, cross thread access, acknowledgements, retries and reconnect recovery; test disconnected clients and worker crashes; suppressed recipients never receive marketing; email retries do not duplicate logical events.</w:t>
      </w:r>
    </w:p>
    <w:p>
      <w:pPr>
        <w:pStyle w:val="Heading2"/>
      </w:pPr>
      <w:r>
        <w:t>Postman sample</w:t>
      </w:r>
    </w:p>
    <w:p>
      <w:r>
        <w:t>GET /support/threads/:threadId/messages; POST /support/threads</w:t>
      </w:r>
    </w:p>
    <w:p>
      <w:r>
        <w:t>Sample request: GET /support/threads/{{threadId}}/messages. Expected success status: 200. No request body.</w:t>
      </w:r>
    </w:p>
    <w:p>
      <w:r>
        <w:t>Use the matching folder in the sample collection. Supply seeded IDs and a role appropriate test token; add validation, ownership and recovery cases when routes exist. Provider webhook tests require genuine documented signature handling and automated fixtures, not a copied secret in this planning document.</w:t>
      </w:r>
    </w:p>
    <w:p>
      <w:r>
        <w:t>In Postman create a Socket.IO request, connect to the configured service and test agreed events. The JSON collection covers HTTP examples only; test rooms, acknowledgements and reconnect behaviour with socket.io-client as well.</w:t>
      </w:r>
    </w:p>
    <w:p>
      <w:pPr>
        <w:pStyle w:val="Heading2"/>
      </w:pPr>
      <w:r>
        <w:t>Milestone exit and next instruction</w:t>
      </w:r>
    </w:p>
    <w:p>
      <w:r>
        <w:t>Produce B11-summary.md, B11-test-results.md, evidence files and actual Postman samples. Update the tracker without claiming owner acceptance. Return the complete B12 prompt and stop.</w:t>
      </w:r>
    </w:p>
    <w:p>
      <w:r>
        <w:t>Copy the full “B11 Realtime support and notifications” section from Codex_Backend_Milestone_Prompts.md. It contains this scope, acceptance evidence, engineering rules and the mandatory closeout sequence.</w:t>
      </w:r>
    </w:p>
    <w:p>
      <w:pPr>
        <w:pStyle w:val="Heading1"/>
        <w:pageBreakBefore/>
      </w:pPr>
      <w:r>
        <w:t>B12 Release hardening and backend handover</w:t>
      </w:r>
    </w:p>
    <w:p>
      <w:r>
        <w:t>Initial status: NOT_STARTED   |   Entry gate: B11 accepted.</w:t>
      </w:r>
    </w:p>
    <w:p>
      <w:pPr>
        <w:pStyle w:val="Heading2"/>
      </w:pPr>
      <w:r>
        <w:t>Scope to implement</w:t>
      </w:r>
    </w:p>
    <w:p>
      <w:r>
        <w:t>Run end to end order, payment, delivery, refund and payout scenarios; review dependencies, validation, rate limits, secrets, upload security, permissions and audit trails. Prepare staging deployment, domain DNS and HTTPS instructions, production MySQL, worker monitoring and backup restoration. Measure the proposed pilot workload and document bottlenecks. Obtain separate authorisation for live deployment and live money movement.</w:t>
      </w:r>
    </w:p>
    <w:p>
      <w:pPr>
        <w:pStyle w:val="Heading2"/>
      </w:pPr>
      <w:r>
        <w:t>Tests required for completion</w:t>
      </w:r>
    </w:p>
    <w:p>
      <w:r>
        <w:t>Restore a backup into an isolated database; verify migrations and rollback or forward recovery; measure 50 browsing users and 10 concurrent checkouts with proposed internal read API p95 below 1 second, excluding provider time; document actual results and pending provider gates.</w:t>
      </w:r>
    </w:p>
    <w:p>
      <w:pPr>
        <w:pStyle w:val="Heading2"/>
      </w:pPr>
      <w:r>
        <w:t>Postman sample</w:t>
      </w:r>
    </w:p>
    <w:p>
      <w:r>
        <w:t>GET /health; GET /ready; run complete Postman smoke workflow</w:t>
      </w:r>
    </w:p>
    <w:p>
      <w:r>
        <w:t>Sample request: GET /ready. Expected success status: 200. No request body.</w:t>
      </w:r>
    </w:p>
    <w:p>
      <w:r>
        <w:t>Use the matching folder in the sample collection. Supply seeded IDs and a role appropriate test token; add validation, ownership and recovery cases when routes exist. Provider webhook tests require genuine documented signature handling and automated fixtures, not a copied secret in this planning document.</w:t>
      </w:r>
    </w:p>
    <w:p>
      <w:pPr>
        <w:pStyle w:val="Heading2"/>
      </w:pPr>
      <w:r>
        <w:t>Milestone exit and next instruction</w:t>
      </w:r>
    </w:p>
    <w:p>
      <w:r>
        <w:t>Produce B12-summary.md, B12-test-results.md, evidence files and actual Postman samples. Update the tracker without claiming owner acceptance. Return the final backend handover and release gates; do not invent another milestone.</w:t>
      </w:r>
    </w:p>
    <w:p>
      <w:r>
        <w:t>Copy the full “B12 Release hardening and backend handover” section from Codex_Backend_Milestone_Prompts.md. It contains this scope, acceptance evidence, engineering rules and the mandatory closeout sequence.</w:t>
      </w:r>
    </w:p>
    <w:p>
      <w:pPr>
        <w:pStyle w:val="Heading1"/>
        <w:pageBreakBefore/>
      </w:pPr>
      <w:r>
        <w:t>Release gates and use of the samples</w:t>
      </w:r>
    </w:p>
    <w:p>
      <w:pPr>
        <w:pStyle w:val="Heading2"/>
      </w:pPr>
      <w:r>
        <w:t>Provider and production acceptance</w:t>
      </w:r>
    </w:p>
    <w:p>
      <w:r>
        <w:t>Local fake providers permit repeatable engineering work. Paystack test mode and the approved Dojah workflow need separate recorded acceptance against real provider accounts. Production deployment, DNS changes and live payments require explicit authorisation. A passing local suite does not prove live configuration is ready.</w:t>
      </w:r>
    </w:p>
    <w:p>
      <w:pPr>
        <w:pStyle w:val="Heading2"/>
      </w:pPr>
      <w:r>
        <w:t>Operations</w:t>
      </w:r>
    </w:p>
    <w:p>
      <w:r>
        <w:t>Document API and worker deployment, secrets provisioning, sender authentication, HTTPS, MySQL access, health checks, alerts and incident recovery. Propose daily backups retained for seven days, a 24 hour recovery point and eight working hour recovery target; confirm these with the owner and demonstrate an isolated restore. Record measured results rather than promising untested recovery.</w:t>
      </w:r>
    </w:p>
    <w:p>
      <w:pPr>
        <w:pStyle w:val="Heading2"/>
      </w:pPr>
      <w:r>
        <w:t>Postman setup</w:t>
      </w:r>
    </w:p>
    <w:p>
      <w:r>
        <w:t>Import Legit_Hair_Backend.postman_collection.json. baseUrl defaults to http://localhost:4000. Set role tokens and IDs using the documented test seed and login flow. The collection has representative HTTP samples and missing authentication checks; it is not a complete acceptance suite. Codex must update it with actual responses, validation cases and fixture instructions at each milestone. Do not run payout or refund samples against live accounts.</w:t>
      </w:r>
    </w:p>
    <w:p>
      <w:pPr>
        <w:pStyle w:val="Heading2"/>
      </w:pPr>
      <w:r>
        <w:t>Sources for implementation verification</w:t>
      </w:r>
    </w:p>
    <w:p>
      <w:r>
        <w:t>PRD: Test_Store_Project_Requirements_Document.docx. Verify provider and framework details against current official documentation before coding. Planning references:</w:t>
      </w:r>
    </w:p>
    <w:p>
      <w:r>
        <w:t>Paystack webhooks — https://paystack.com/docs/payments/webhooks/</w:t>
      </w:r>
    </w:p>
    <w:p>
      <w:r>
        <w:t>Socket.IO delivery guarantees — https://socket.io/docs/v4/delivery-guarantees/</w:t>
      </w:r>
    </w:p>
    <w:p>
      <w:r>
        <w:t>MySQL locking reads — https://dev.mysql.com/doc/refman/8.4/en/innodb-locking-reads.html</w:t>
      </w:r>
    </w:p>
    <w:p>
      <w:r>
        <w:t>Postman Socket.IO requests — https://learning.postman.com/docs/use/send-requests/protocols/websocket/create-a-socketio-request/</w:t>
      </w:r>
    </w:p>
    <w:p>
      <w:r>
        <w:t>Dojah support and verification workflow — https://support.dojah.io/</w:t>
      </w:r>
    </w:p>
    <w:p>
      <w:r>
        <w:t>Mocha CLI — https://mochajs.org/running/cli/</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7309A"/>
        <w:sz w:val="18"/>
      </w:rPr>
      <w:t xml:space="preserve">Backend development plan   •   Version 1.0   •   09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DHRIVN TECHNOLOGIES   |   LEGIT HAIR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