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Store Project Requirements Document</w:t>
      </w:r>
    </w:p>
    <w:p>
      <w:r>
        <w:t>Client scope, technology, delivery plan and commercial proposal</w:t>
      </w:r>
    </w:p>
    <w:p>
      <w:r>
        <w:t>Version 1.0  |  Prepared 09 October 2026  |  For client review</w:t>
      </w:r>
    </w:p>
    <w:p>
      <w:pPr>
        <w:pStyle w:val="Heading2"/>
      </w:pPr>
      <w:r>
        <w:t>1 Project purpose</w:t>
      </w:r>
    </w:p>
    <w:p>
      <w:r>
        <w:t>Build a branded ecommerce marketplace where customers can buy products from the company and approved independent sellers. The shopping experience will take inspiration from Jumia, using the client’s own identity and content. The three priorities are the storefront, seller workspace and administration workspace.</w:t>
      </w:r>
    </w:p>
    <w:tbl>
      <w:tblPr>
        <w:tblW w:type="auto" w:w="0"/>
        <w:jc w:val="center"/>
        <w:tblLayout w:type="fixed"/>
        <w:tblLook w:firstColumn="1" w:firstRow="1" w:lastColumn="0" w:lastRow="0" w:noHBand="0" w:noVBand="1" w:val="04A0"/>
      </w:tblPr>
      <w:tblGrid>
        <w:gridCol w:w="2952"/>
        <w:gridCol w:w="7272"/>
      </w:tblGrid>
      <w:tr>
        <w:trPr>
          <w:tblHeader/>
          <w:cantSplit/>
        </w:trPr>
        <w:tc>
          <w:tcPr>
            <w:tcW w:type="dxa" w:w="295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Client response</w:t>
            </w:r>
          </w:p>
        </w:tc>
        <w:tc>
          <w:tcPr>
            <w:tcW w:type="dxa" w:w="727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Requirement</w:t>
            </w:r>
          </w:p>
        </w:tc>
      </w:tr>
      <w:tr>
        <w:trPr>
          <w:cantSplit/>
        </w:trPr>
        <w:tc>
          <w:tcPr>
            <w:tcW w:type="dxa" w:w="295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Working store name</w:t>
            </w:r>
          </w:p>
        </w:tc>
        <w:tc>
          <w:tcPr>
            <w:tcW w:type="dxa" w:w="727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Test Store; final trading name to be confirmed</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Brand</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Light green; client indicates an existing logo</w:t>
            </w:r>
          </w:p>
        </w:tc>
      </w:tr>
      <w:tr>
        <w:trPr>
          <w:cantSplit/>
        </w:trPr>
        <w:tc>
          <w:tcPr>
            <w:tcW w:type="dxa" w:w="295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Delivery</w:t>
            </w:r>
          </w:p>
        </w:tc>
        <w:tc>
          <w:tcPr>
            <w:tcW w:type="dxa" w:w="727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Lagos only; delivery arranged by the company</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Currency request</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Naira and US dollars; payment treatment needs approval</w:t>
            </w:r>
          </w:p>
        </w:tc>
      </w:tr>
      <w:tr>
        <w:trPr>
          <w:cantSplit/>
        </w:trPr>
        <w:tc>
          <w:tcPr>
            <w:tcW w:type="dxa" w:w="295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Available budget</w:t>
            </w:r>
          </w:p>
        </w:tc>
        <w:tc>
          <w:tcPr>
            <w:tcW w:type="dxa" w:w="727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₦2,000,000</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Target duration</w:t>
            </w:r>
          </w:p>
        </w:tc>
        <w:tc>
          <w:tcPr>
            <w:tcW w:type="dxa" w:w="72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Three months from agreed kickoff</w:t>
            </w:r>
          </w:p>
        </w:tc>
      </w:tr>
    </w:tbl>
    <w:p>
      <w:pPr>
        <w:spacing w:after="40" w:before="0" w:line="60" w:lineRule="exact"/>
      </w:pPr>
      <w:r>
        <w:rPr>
          <w:sz w:val="4"/>
        </w:rPr>
      </w:r>
    </w:p>
    <w:p>
      <w:pPr>
        <w:pStyle w:val="Heading2"/>
      </w:pPr>
      <w:r>
        <w:t>2 Recommended commercial approach</w:t>
      </w:r>
    </w:p>
    <w:p>
      <w:r>
        <w:t>Recommended development fee: ₦4,000,000 for the selected marketplace scope under the limits in this document. This is an effort-based proposal, not a claim about standard market pricing. It excludes operating subscriptions, payment fees and any applicable taxes.</w:t>
      </w:r>
    </w:p>
    <w:p>
      <w:r>
        <w:t>If ₦2,000,000 is a firm development limit, deliver the smaller launch release on page 10 and schedule the remaining selected features separately. The full selected scope should not be promised at the reduced fee.</w:t>
      </w:r>
    </w:p>
    <w:p>
      <w:pPr>
        <w:pStyle w:val="Heading2"/>
      </w:pPr>
      <w:r>
        <w:t>3 Scope interpretation</w:t>
      </w:r>
    </w:p>
    <w:p>
      <w:r>
        <w:t>Both “My products only” and “Other sellers can join” were ticked. Proposed interpretation: the company sells alongside approved sellers. This must be confirmed before design approval. The document defines the full target scope; the budget option changes the launch scope only after client approval.</w:t>
      </w:r>
    </w:p>
    <w:p>
      <w:r>
        <w:t>Client selection source: Ecommerce_Client_Feature_Checklist(2).docx. Technical and commercial details below are delivery proposals for approval.</w:t>
      </w:r>
    </w:p>
    <w:p>
      <w:pPr>
        <w:pStyle w:val="Heading1"/>
        <w:pageBreakBefore/>
      </w:pPr>
      <w:r>
        <w:t>4 Customer storefront requirements</w:t>
      </w:r>
    </w:p>
    <w:p>
      <w:r>
        <w:t>These requirements reflect the selected shopping features. The launch option on page 10 identifies any reduced or deferred items.</w:t>
      </w:r>
    </w:p>
    <w:tbl>
      <w:tblPr>
        <w:tblW w:type="auto" w:w="0"/>
        <w:jc w:val="center"/>
        <w:tblLayout w:type="fixed"/>
        <w:tblLook w:firstColumn="1" w:firstRow="1" w:lastColumn="0" w:lastRow="0" w:noHBand="0" w:noVBand="1" w:val="04A0"/>
      </w:tblPr>
      <w:tblGrid>
        <w:gridCol w:w="648"/>
        <w:gridCol w:w="1944"/>
        <w:gridCol w:w="7632"/>
      </w:tblGrid>
      <w:tr>
        <w:trPr>
          <w:tblHeader/>
          <w:cantSplit/>
        </w:trPr>
        <w:tc>
          <w:tcPr>
            <w:tcW w:type="dxa" w:w="648"/>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ID</w:t>
            </w:r>
          </w:p>
        </w:tc>
        <w:tc>
          <w:tcPr>
            <w:tcW w:type="dxa" w:w="1944"/>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Feature</w:t>
            </w:r>
          </w:p>
        </w:tc>
        <w:tc>
          <w:tcPr>
            <w:tcW w:type="dxa" w:w="763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Required behaviour</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C01</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Browse and search</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Categories, name search and filters by price, brand and relevant product attributes. Sort by price, newest and popularity; define popularity as paid units sold.</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C02</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Product pages</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Photos, description, price, seller, stock availability and delivery estimate. Products have one purchasable configuration at launch.</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C03</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Reviews</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Customers with a completed purchase can rate and review it. Admin can moderate inappropriate content.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C04</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Basket and checkout</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Add several products, change quantities and see product, delivery and payment totals before confirming. Full scope supports products from several sellers.</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C05</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Customer accounts</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Registration, login, email verification, password reset, saved addresses and order history. Guest checkout remains available.</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C06</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Payments and receipts</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Paystack card and supported bank-transfer checkout; eligible pay-on-delivery orders. Confirmation email and downloadable receipt after confirmed payment.</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C07</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Delivery and pickup</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Company home delivery or pickup in Lagos. Charges and estimates come from admin-managed delivery zones and pickup locations.</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C08</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Order progress and returns</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Show processing, shipped, delivered and cancellation states. Customers submit return or refund requests and view their outcome.</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C09</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Promotions and support</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Homepage offers, simple category-based related products, live text chat with company support and opt-in marketing emails.</w:t>
            </w:r>
          </w:p>
        </w:tc>
      </w:tr>
    </w:tbl>
    <w:p>
      <w:pPr>
        <w:spacing w:after="40" w:before="0" w:line="60" w:lineRule="exact"/>
      </w:pPr>
      <w:r>
        <w:rPr>
          <w:sz w:val="4"/>
        </w:rPr>
      </w:r>
    </w:p>
    <w:p>
      <w:pPr>
        <w:pStyle w:val="Heading2"/>
      </w:pPr>
      <w:r>
        <w:t>Currency and checkout proposal</w:t>
      </w:r>
    </w:p>
    <w:p>
      <w:r>
        <w:t>Store base prices and seller balances in NGN. Offer an indicative USD display using an administrator-maintained rate and timestamp; show the NGN amount charged before payment. Actual USD charging, refunds and seller settlement are a separate decision and are excluded from the base estimate until their workflow is agreed. Paystack USD eligibility depends on the client’s account setup [S2].</w:t>
      </w:r>
    </w:p>
    <w:p>
      <w:pPr>
        <w:pStyle w:val="Heading2"/>
      </w:pPr>
      <w:r>
        <w:t>Explicitly unselected features</w:t>
      </w:r>
    </w:p>
    <w:p>
      <w:r>
        <w:t>Product size or colour choices, saved favourites, discount codes, free delivery offers, limited-time sales and WhatsApp contact are outside this scope. Filtering by a descriptive size or colour does not add selectable product variants.</w:t>
      </w:r>
    </w:p>
    <w:p>
      <w:pPr>
        <w:pStyle w:val="Heading1"/>
        <w:pageBreakBefore/>
      </w:pPr>
      <w:r>
        <w:t>5 Seller and administration requirements</w:t>
      </w:r>
    </w:p>
    <w:tbl>
      <w:tblPr>
        <w:tblW w:type="auto" w:w="0"/>
        <w:jc w:val="center"/>
        <w:tblLayout w:type="fixed"/>
        <w:tblLook w:firstColumn="1" w:firstRow="1" w:lastColumn="0" w:lastRow="0" w:noHBand="0" w:noVBand="1" w:val="04A0"/>
      </w:tblPr>
      <w:tblGrid>
        <w:gridCol w:w="648"/>
        <w:gridCol w:w="1944"/>
        <w:gridCol w:w="7632"/>
      </w:tblGrid>
      <w:tr>
        <w:trPr>
          <w:tblHeader/>
          <w:cantSplit/>
        </w:trPr>
        <w:tc>
          <w:tcPr>
            <w:tcW w:type="dxa" w:w="648"/>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ID</w:t>
            </w:r>
          </w:p>
        </w:tc>
        <w:tc>
          <w:tcPr>
            <w:tcW w:type="dxa" w:w="1944"/>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Area</w:t>
            </w:r>
          </w:p>
        </w:tc>
        <w:tc>
          <w:tcPr>
            <w:tcW w:type="dxa" w:w="763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Required behaviour</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S01</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Seller onboarding</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Collect seller profile, contact, business and payout details. Run the agreed Dojah verification flow and record pending, verified, failed or review-required outcomes.</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S02</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Seller approval</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Admin approves, rejects or suspends sellers. Passing identity verification does not automatically grant permission to sell.</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S03</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Seller workspace</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Each seller adds and edits its own products, images, prices and stock; sees its own orders, sales and payout records. No access to another seller’s records.</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S04</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Commissions</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Admin sets a platform percentage. Store the applicable rate with each order. Proposed base is item value excluding delivery; fee responsibility needs approval.</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S05</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Seller payments</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Maintain an auditable earnings ledger. Release eligible amounts after delivery and the agreed return hold. Admin approves NGN transfers through Paystack, subject to service availability.</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A01</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Catalogue and stock</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Admin manages company products, seller products, categories, publication status and low-stock thresholds. Stock reservations prevent concurrent overselling.</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A02</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Order operations</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One customer order can contain seller-specific portions. Company staff arrange delivery, record pickup or delivery progress, reconcile pay-on-delivery and handle cancellations.</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A03</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Returns and refunds</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Admin reviews requests, records reasons and outcomes, initiates eligible payment refunds and adjusts stock and seller balances. Prevent repeat refunds.</w:t>
            </w:r>
          </w:p>
        </w:tc>
      </w:tr>
      <w:tr>
        <w:trPr>
          <w:cantSplit/>
        </w:trPr>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A04</w:t>
            </w:r>
          </w:p>
        </w:tc>
        <w:tc>
          <w:tcPr>
            <w:tcW w:type="dxa" w:w="194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Staff and reporting</w:t>
            </w:r>
          </w:p>
        </w:tc>
        <w:tc>
          <w:tcPr>
            <w:tcW w:type="dxa" w:w="76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Permission levels for administrator, operations, finance and support. Show paid sales, order totals, products sold and seller earnings; export basic reports.</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A05</w:t>
            </w:r>
          </w:p>
        </w:tc>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Content and support</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Manage banners, related product rules, company support chat and opted-in marketing recipients. Maintain an audit trail of sensitive actions.</w:t>
            </w:r>
          </w:p>
        </w:tc>
      </w:tr>
    </w:tbl>
    <w:p>
      <w:pPr>
        <w:spacing w:after="40" w:before="0" w:line="60" w:lineRule="exact"/>
      </w:pPr>
      <w:r>
        <w:rPr>
          <w:sz w:val="4"/>
        </w:rPr>
      </w:r>
    </w:p>
    <w:p>
      <w:pPr>
        <w:pStyle w:val="Heading2"/>
      </w:pPr>
      <w:r>
        <w:t>Proposed operating limits</w:t>
      </w:r>
    </w:p>
    <w:p>
      <w:r>
        <w:t>One business operator, one storefront brand, Lagos zones, physical goods and NGN seller payouts. Pilot planning allowance: up to 20 sellers and 500 products. This is a sizing assumption for the quote, not a permanent platform limit. Initial content entry includes up to 50 client-supplied products; larger imports are separately agreed.</w:t>
      </w:r>
    </w:p>
    <w:p>
      <w:r>
        <w:t>Seller wallets, escrow services, automated currency trading, native mobile apps, courier APIs and nationwide delivery are excluded. Paystack collections and transfers require approved client accounts and an agreed settlement policy.</w:t>
      </w:r>
    </w:p>
    <w:p>
      <w:pPr>
        <w:pStyle w:val="Heading1"/>
        <w:pageBreakBefore/>
      </w:pPr>
      <w:r>
        <w:t>6 Proposed technology</w:t>
      </w:r>
    </w:p>
    <w:p>
      <w:r>
        <w:t>Frontend and backend work will be planned and maintained separately, with a documented API connecting them. The client receives the source code and setup documentation at handover under the agreed contract.</w:t>
      </w:r>
    </w:p>
    <w:p>
      <w:pPr>
        <w:pStyle w:val="Heading2"/>
      </w:pPr>
      <w:r>
        <w:t>Frontend</w:t>
      </w:r>
    </w:p>
    <w:tbl>
      <w:tblPr>
        <w:tblW w:type="auto" w:w="0"/>
        <w:jc w:val="center"/>
        <w:tblLayout w:type="fixed"/>
        <w:tblLook w:firstColumn="1" w:firstRow="1" w:lastColumn="0" w:lastRow="0" w:noHBand="0" w:noVBand="1" w:val="04A0"/>
      </w:tblPr>
      <w:tblGrid>
        <w:gridCol w:w="3096"/>
        <w:gridCol w:w="7128"/>
      </w:tblGrid>
      <w:tr>
        <w:trPr>
          <w:tblHeader/>
          <w:cantSplit/>
        </w:trPr>
        <w:tc>
          <w:tcPr>
            <w:tcW w:type="dxa" w:w="3096"/>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Technology</w:t>
            </w:r>
          </w:p>
        </w:tc>
        <w:tc>
          <w:tcPr>
            <w:tcW w:type="dxa" w:w="7128"/>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Purpose</w:t>
            </w:r>
          </w:p>
        </w:tc>
      </w:tr>
      <w:tr>
        <w:trPr>
          <w:cantSplit/>
        </w:trPr>
        <w:tc>
          <w:tcPr>
            <w:tcW w:type="dxa" w:w="309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React</w:t>
            </w:r>
          </w:p>
        </w:tc>
        <w:tc>
          <w:tcPr>
            <w:tcW w:type="dxa" w:w="712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Build the customer storefront, seller workspace and admin screens.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TypeScript</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Catch common data and coding mistakes before release.</w:t>
            </w:r>
          </w:p>
        </w:tc>
      </w:tr>
      <w:tr>
        <w:trPr>
          <w:cantSplit/>
        </w:trPr>
        <w:tc>
          <w:tcPr>
            <w:tcW w:type="dxa" w:w="309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Redux Toolkit and RTK Query</w:t>
            </w:r>
          </w:p>
        </w:tc>
        <w:tc>
          <w:tcPr>
            <w:tcW w:type="dxa" w:w="712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Manage shared application state and API requests. Keep checkout calculations authoritative on the backend.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Responsive styling</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Apply the light green brand with readable text and accessible controls on phones, tablets and desktops.</w:t>
            </w:r>
          </w:p>
        </w:tc>
      </w:tr>
    </w:tbl>
    <w:p>
      <w:pPr>
        <w:spacing w:after="40" w:before="0" w:line="60" w:lineRule="exact"/>
      </w:pPr>
      <w:r>
        <w:rPr>
          <w:sz w:val="4"/>
        </w:rPr>
      </w:r>
    </w:p>
    <w:p>
      <w:pPr>
        <w:pStyle w:val="Heading2"/>
      </w:pPr>
      <w:r>
        <w:t>Backend</w:t>
      </w:r>
    </w:p>
    <w:tbl>
      <w:tblPr>
        <w:tblW w:type="auto" w:w="0"/>
        <w:jc w:val="center"/>
        <w:tblLayout w:type="fixed"/>
        <w:tblLook w:firstColumn="1" w:firstRow="1" w:lastColumn="0" w:lastRow="0" w:noHBand="0" w:noVBand="1" w:val="04A0"/>
      </w:tblPr>
      <w:tblGrid>
        <w:gridCol w:w="3096"/>
        <w:gridCol w:w="7128"/>
      </w:tblGrid>
      <w:tr>
        <w:trPr>
          <w:tblHeader/>
          <w:cantSplit/>
        </w:trPr>
        <w:tc>
          <w:tcPr>
            <w:tcW w:type="dxa" w:w="3096"/>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Technology</w:t>
            </w:r>
          </w:p>
        </w:tc>
        <w:tc>
          <w:tcPr>
            <w:tcW w:type="dxa" w:w="7128"/>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Purpose</w:t>
            </w:r>
          </w:p>
        </w:tc>
      </w:tr>
      <w:tr>
        <w:trPr>
          <w:cantSplit/>
        </w:trPr>
        <w:tc>
          <w:tcPr>
            <w:tcW w:type="dxa" w:w="309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Node.js</w:t>
            </w:r>
          </w:p>
        </w:tc>
        <w:tc>
          <w:tcPr>
            <w:tcW w:type="dxa" w:w="712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Run the application services using a supported long-term support release.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Express</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Provide APIs for accounts, catalogue, checkout, orders, sellers and administration.</w:t>
            </w:r>
          </w:p>
        </w:tc>
      </w:tr>
      <w:tr>
        <w:trPr>
          <w:cantSplit/>
        </w:trPr>
        <w:tc>
          <w:tcPr>
            <w:tcW w:type="dxa" w:w="309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Socket.IO</w:t>
            </w:r>
          </w:p>
        </w:tc>
        <w:tc>
          <w:tcPr>
            <w:tcW w:type="dxa" w:w="712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Support live text chat and order notifications. Store messages and order changes in the database, then deliver updates to authorised users.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TypeScript proposed</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Use consistent data types in backend code and shared API contracts.</w:t>
            </w:r>
          </w:p>
        </w:tc>
      </w:tr>
    </w:tbl>
    <w:p>
      <w:pPr>
        <w:spacing w:after="40" w:before="0" w:line="60" w:lineRule="exact"/>
      </w:pPr>
      <w:r>
        <w:rPr>
          <w:sz w:val="4"/>
        </w:rPr>
      </w:r>
    </w:p>
    <w:p>
      <w:pPr>
        <w:pStyle w:val="Heading2"/>
      </w:pPr>
      <w:r>
        <w:t>Database and local development</w:t>
      </w:r>
    </w:p>
    <w:p>
      <w:r>
        <w:t>Production: MySQL on a private managed database service. Main records include users, roles, sellers, verification references, products, stock, baskets, orders, order items, payments, commissions, payouts, returns, chat messages and audit logs.</w:t>
      </w:r>
    </w:p>
    <w:p>
      <w:r>
        <w:t>Local: use XAMPP for the familiar local tools and phpMyAdmin, with a separately installed MySQL server matching production. XAMPP’s bundled database is MariaDB, despite its MySQL label [S3]. Stop that bundled database when using the separate MySQL instance. Node and Express run independently; PHP is not the application backend.</w:t>
      </w:r>
    </w:p>
    <w:p>
      <w:r>
        <w:t>Use database transactions for stock, payments and ledger entries, tested schema migrations, indexes for search and order lookups, and backups. Development, testing and live data must remain separate.</w:t>
      </w:r>
    </w:p>
    <w:p>
      <w:pPr>
        <w:pStyle w:val="Heading2"/>
      </w:pPr>
      <w:r>
        <w:t>Maintainability</w:t>
      </w:r>
    </w:p>
    <w:p>
      <w:r>
        <w:t>Use separate frontend and backend repositories or clearly separated applications, consistent formatting, code review, environment-based configuration and a documented API. Record exact dependency versions at kickoff and assess updates before deployment.</w:t>
      </w:r>
    </w:p>
    <w:p>
      <w:pPr>
        <w:pStyle w:val="Heading1"/>
        <w:pageBreakBefore/>
      </w:pPr>
      <w:r>
        <w:t>7 Third party integrations</w:t>
      </w:r>
    </w:p>
    <w:p>
      <w:pPr>
        <w:pStyle w:val="Heading2"/>
      </w:pPr>
      <w:r>
        <w:t>Paystack payments and seller transfers</w:t>
      </w:r>
    </w:p>
    <w:p>
      <w:r>
        <w:t>Use hosted payment checkout for card and available bank-transfer channels. The backend checks payment status, amount, currency and order reference before marking an order paid. Verify webhook signatures and safely handle repeated notifications [S4]. Browser success screens alone must not confirm payment.</w:t>
      </w:r>
    </w:p>
    <w:p>
      <w:r>
        <w:t>Full scope includes administrator-approved seller transfers, transfer status updates and reconciliation. Failed transfers stay pending for review. Pay-on-delivery orders only create payable seller earnings after staff records collection. Payment failures release reserved stock according to the agreed timeout.</w:t>
      </w:r>
    </w:p>
    <w:p>
      <w:r>
        <w:t>Refunds must reverse the relevant commission and seller balance. If a seller has already been paid, record the amount to recover and route it to finance review. Do not assume immediate split settlement is suitable for returns; the agreed ledger and payout hold govern release.</w:t>
      </w:r>
    </w:p>
    <w:p>
      <w:pPr>
        <w:pStyle w:val="Heading2"/>
      </w:pPr>
      <w:r>
        <w:t>Dojah seller verification</w:t>
      </w:r>
    </w:p>
    <w:p>
      <w:r>
        <w:t>Integrate one agreed identity verification workflow using Dojah’s supported widget or APIs [S5]. Confirm whether sellers are individuals or companies and select appropriate checks before development. CAC/business checks or additional verification flows require explicit scope approval.</w:t>
      </w:r>
    </w:p>
    <w:p>
      <w:r>
        <w:t>Collect consent before verification, keep API credentials on the backend, restrict identity data to authorised staff and retain only necessary results and references. A provider outage must leave an application pending rather than approve it. Define resubmission and manual-review paths.</w:t>
      </w:r>
    </w:p>
    <w:p>
      <w:pPr>
        <w:pStyle w:val="Heading2"/>
      </w:pPr>
      <w:r>
        <w:t>Email system</w:t>
      </w:r>
    </w:p>
    <w:p>
      <w:r>
        <w:t>Proposed provider: Resend, subject to client approval. Send branded account verification, password resets, order confirmations, payment receipts, delivery updates and seller approval messages. Retry failed sends and track delivery results.</w:t>
      </w:r>
    </w:p>
    <w:p>
      <w:r>
        <w:t>Full scope includes basic promotional broadcasts to opted-in recipients, with unsubscribe and suppression handling. Transactional and marketing services have separate usage rules and billing [S6]. Configure authenticated sender DNS records before launch. A business mailbox such as support@yourdomain is separate from the sending service.</w:t>
      </w:r>
    </w:p>
    <w:p>
      <w:pPr>
        <w:pStyle w:val="Heading2"/>
      </w:pPr>
      <w:r>
        <w:t>Client owned service accounts</w:t>
      </w:r>
    </w:p>
    <w:p>
      <w:r>
        <w:t>The client owns and funds Paystack, Dojah, email, domain and hosting accounts. Provide access through invited roles where available. Complete provider onboarding early; approval delays can move the launch date.</w:t>
      </w:r>
    </w:p>
    <w:p>
      <w:pPr>
        <w:pStyle w:val="Heading1"/>
        <w:pageBreakBefore/>
      </w:pPr>
      <w:r>
        <w:t>8 Testing and launch quality</w:t>
      </w:r>
    </w:p>
    <w:p>
      <w:pPr>
        <w:pStyle w:val="Heading2"/>
      </w:pPr>
      <w:r>
        <w:t>Automated testing</w:t>
      </w:r>
    </w:p>
    <w:tbl>
      <w:tblPr>
        <w:tblW w:type="auto" w:w="0"/>
        <w:jc w:val="center"/>
        <w:tblLayout w:type="fixed"/>
        <w:tblLook w:firstColumn="1" w:firstRow="1" w:lastColumn="0" w:lastRow="0" w:noHBand="0" w:noVBand="1" w:val="04A0"/>
      </w:tblPr>
      <w:tblGrid>
        <w:gridCol w:w="1512"/>
        <w:gridCol w:w="2232"/>
        <w:gridCol w:w="6480"/>
      </w:tblGrid>
      <w:tr>
        <w:trPr>
          <w:tblHeader/>
          <w:cantSplit/>
        </w:trPr>
        <w:tc>
          <w:tcPr>
            <w:tcW w:type="dxa" w:w="151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Tool</w:t>
            </w:r>
          </w:p>
        </w:tc>
        <w:tc>
          <w:tcPr>
            <w:tcW w:type="dxa" w:w="223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Responsibility</w:t>
            </w:r>
          </w:p>
        </w:tc>
        <w:tc>
          <w:tcPr>
            <w:tcW w:type="dxa" w:w="6480"/>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Priority checks</w:t>
            </w:r>
          </w:p>
        </w:tc>
      </w:tr>
      <w:tr>
        <w:trPr>
          <w:cantSplit/>
        </w:trPr>
        <w:tc>
          <w:tcPr>
            <w:tcW w:type="dxa" w:w="15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Jest</w:t>
            </w:r>
          </w:p>
        </w:tc>
        <w:tc>
          <w:tcPr>
            <w:tcW w:type="dxa" w:w="22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Frontend tests</w:t>
            </w:r>
          </w:p>
        </w:tc>
        <w:tc>
          <w:tcPr>
            <w:tcW w:type="dxa" w:w="648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Forms, Redux state, API states, checkout totals displayed, role-specific screens and customer error handling.</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Mocha</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Backend tests</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Accounts, permissions, stock transactions, orders, commissions, payments, refunds, seller verification and payout retries.</w:t>
            </w:r>
          </w:p>
        </w:tc>
      </w:tr>
      <w:tr>
        <w:trPr>
          <w:cantSplit/>
        </w:trPr>
        <w:tc>
          <w:tcPr>
            <w:tcW w:type="dxa" w:w="15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Supertest proposed</w:t>
            </w:r>
          </w:p>
        </w:tc>
        <w:tc>
          <w:tcPr>
            <w:tcW w:type="dxa" w:w="223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Express API test helper</w:t>
            </w:r>
          </w:p>
        </w:tc>
        <w:tc>
          <w:tcPr>
            <w:tcW w:type="dxa" w:w="648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Exercise authenticated endpoints and validate response status and data while Mocha runs the tests.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Manual browser tests</w:t>
            </w:r>
          </w:p>
        </w:tc>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End-to-end customer journeys</w:t>
            </w:r>
          </w:p>
        </w:tc>
        <w:tc>
          <w:tcPr>
            <w:tcW w:type="dxa" w:w="64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Mobile and desktop buying, seller onboarding, admin fulfilment, receipts and chat reconnects.</w:t>
            </w:r>
          </w:p>
        </w:tc>
      </w:tr>
    </w:tbl>
    <w:p>
      <w:pPr>
        <w:spacing w:after="40" w:before="0" w:line="60" w:lineRule="exact"/>
      </w:pPr>
      <w:r>
        <w:rPr>
          <w:sz w:val="4"/>
        </w:rPr>
      </w:r>
    </w:p>
    <w:p>
      <w:pPr>
        <w:pStyle w:val="Heading2"/>
      </w:pPr>
      <w:r>
        <w:t>Release acceptance criteria</w:t>
      </w:r>
    </w:p>
    <w:p>
      <w:pPr>
        <w:pStyle w:val="ListBullet"/>
      </w:pPr>
      <w:r>
        <w:t>A guest and a registered customer can complete an eligible Lagos order; invalid delivery areas are blocked and delivery fees are visible before payment.</w:t>
      </w:r>
    </w:p>
    <w:p>
      <w:pPr>
        <w:pStyle w:val="ListBullet"/>
      </w:pPr>
      <w:r>
        <w:t>A verified and approved seller can publish products and view only its own records. Suspended sellers cannot publish or receive new orders.</w:t>
      </w:r>
    </w:p>
    <w:p>
      <w:pPr>
        <w:pStyle w:val="ListBullet"/>
      </w:pPr>
      <w:r>
        <w:t>A forged or repeated payment notification cannot create a false payment, duplicate order, commission or payout. Amount and currency mismatches are rejected.</w:t>
      </w:r>
    </w:p>
    <w:p>
      <w:pPr>
        <w:pStyle w:val="ListBullet"/>
      </w:pPr>
      <w:r>
        <w:t>Two customers attempting the final stock item cannot both purchase it. Failed or expired reservations release stock according to the agreed rules.</w:t>
      </w:r>
    </w:p>
    <w:p>
      <w:pPr>
        <w:pStyle w:val="ListBullet"/>
      </w:pPr>
      <w:r>
        <w:t>Commission, seller payout and refund totals reconcile against test orders, including partially refunded orders and pay-on-delivery collection.</w:t>
      </w:r>
    </w:p>
    <w:p>
      <w:pPr>
        <w:pStyle w:val="ListBullet"/>
      </w:pPr>
      <w:r>
        <w:t>Chat users cannot access other conversations. Messages persist through reconnects and customers can retrieve current order status without sockets [S7].</w:t>
      </w:r>
    </w:p>
    <w:p>
      <w:pPr>
        <w:pStyle w:val="ListBullet"/>
      </w:pPr>
      <w:r>
        <w:t>The product owner completes user acceptance testing; no unresolved critical or high-severity defects remain, and lower-severity exceptions are documented.</w:t>
      </w:r>
    </w:p>
    <w:p>
      <w:pPr>
        <w:pStyle w:val="Heading2"/>
      </w:pPr>
      <w:r>
        <w:t>Security and reliability targets</w:t>
      </w:r>
    </w:p>
    <w:p>
      <w:r>
        <w:t>Require HTTPS, secure password storage, access controls, input validation, restricted file uploads, rate limits and private secrets. Log financial and administrative actions without exposing identity documents or credentials.</w:t>
      </w:r>
    </w:p>
    <w:p>
      <w:r>
        <w:t>Proposed pilot test: 50 concurrent browsing users and 10 concurrent checkout attempts; target internal API response time below 1 second at the 95th percentile for normal reads, excluding provider delays. Validate with production-like data before selecting final capacity. These are acceptance targets, not guaranteed unlimited scale.</w:t>
      </w:r>
    </w:p>
    <w:p>
      <w:r>
        <w:t>Take daily database backups with at least 7 days of retention and test restoration before launch. Proposed recovery targets: up to 24 hours of data loss and restoration within 8 working hours; a stronger service level needs a different hosting and support budget.</w:t>
      </w:r>
    </w:p>
    <w:p>
      <w:pPr>
        <w:pStyle w:val="Heading1"/>
        <w:pageBreakBefore/>
      </w:pPr>
      <w:r>
        <w:t>9 Domain and hosting</w:t>
      </w:r>
    </w:p>
    <w:p>
      <w:pPr>
        <w:pStyle w:val="Heading2"/>
      </w:pPr>
      <w:r>
        <w:t>Recommended launch arrangement</w:t>
      </w:r>
    </w:p>
    <w:p>
      <w:r>
        <w:t>Use a client-owned domain, a paid DigitalOcean server for the React build and Node/Express application, a private managed MySQL database, and object storage for product images. Configure HTTPS and WebSocket support for Socket.IO. Maintain a separate staging environment for client testing.</w:t>
      </w:r>
    </w:p>
    <w:tbl>
      <w:tblPr>
        <w:tblW w:type="auto" w:w="0"/>
        <w:jc w:val="center"/>
        <w:tblLayout w:type="fixed"/>
        <w:tblLook w:firstColumn="1" w:firstRow="1" w:lastColumn="0" w:lastRow="0" w:noHBand="0" w:noVBand="1" w:val="04A0"/>
      </w:tblPr>
      <w:tblGrid>
        <w:gridCol w:w="1656"/>
        <w:gridCol w:w="5112"/>
        <w:gridCol w:w="3456"/>
      </w:tblGrid>
      <w:tr>
        <w:trPr>
          <w:tblHeader/>
          <w:cantSplit/>
        </w:trPr>
        <w:tc>
          <w:tcPr>
            <w:tcW w:type="dxa" w:w="1656"/>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Component</w:t>
            </w:r>
          </w:p>
        </w:tc>
        <w:tc>
          <w:tcPr>
            <w:tcW w:type="dxa" w:w="511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Planning recommendation</w:t>
            </w:r>
          </w:p>
        </w:tc>
        <w:tc>
          <w:tcPr>
            <w:tcW w:type="dxa" w:w="3456"/>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Ongoing cost treatment</w:t>
            </w:r>
          </w:p>
        </w:tc>
      </w:tr>
      <w:tr>
        <w:trPr>
          <w:cantSplit/>
        </w:trPr>
        <w:tc>
          <w:tcPr>
            <w:tcW w:type="dxa" w:w="16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Domain</w:t>
            </w:r>
          </w:p>
        </w:tc>
        <w:tc>
          <w:tcPr>
            <w:tcW w:type="dxa" w:w="51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Client-approved available .com or .com.ng; renewal and recovery details belong to client.</w:t>
            </w:r>
          </w:p>
        </w:tc>
        <w:tc>
          <w:tcPr>
            <w:tcW w:type="dxa" w:w="34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Allow ₦20,000–₦60,000 yearly; indicative, registrar quote required.</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Application server</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Start with a 4 GB / 2 vCPU basic server; resize after load tests.</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Published reference: US$24/month [S8].</w:t>
            </w:r>
          </w:p>
        </w:tc>
      </w:tr>
      <w:tr>
        <w:trPr>
          <w:cantSplit/>
        </w:trPr>
        <w:tc>
          <w:tcPr>
            <w:tcW w:type="dxa" w:w="16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Managed MySQL</w:t>
            </w:r>
          </w:p>
        </w:tc>
        <w:tc>
          <w:tcPr>
            <w:tcW w:type="dxa" w:w="51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Private connection, monitored storage and backups; choose capacity after tests.</w:t>
            </w:r>
          </w:p>
        </w:tc>
        <w:tc>
          <w:tcPr>
            <w:tcW w:type="dxa" w:w="34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Published entry reference from US$15/month; storage and standby nodes add cost [S9].</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Image storage</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DigitalOcean Spaces or equivalent with controlled uploads.</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Published starting reference US$5/month [S10].</w:t>
            </w:r>
          </w:p>
        </w:tc>
      </w:tr>
      <w:tr>
        <w:trPr>
          <w:cantSplit/>
        </w:trPr>
        <w:tc>
          <w:tcPr>
            <w:tcW w:type="dxa" w:w="16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Staging and monitoring</w:t>
            </w:r>
          </w:p>
        </w:tc>
        <w:tc>
          <w:tcPr>
            <w:tcW w:type="dxa" w:w="51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Small separate staging resources, logs, alerts and off-server backup checks.</w:t>
            </w:r>
          </w:p>
        </w:tc>
        <w:tc>
          <w:tcPr>
            <w:tcW w:type="dxa" w:w="34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Additional allowance; confirm actual resources before purchase.</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Email and verification</w:t>
            </w:r>
          </w:p>
        </w:tc>
        <w:tc>
          <w:tcPr>
            <w:tcW w:type="dxa" w:w="51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Client-funded sending plans and Dojah credits.</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Usage-based; final plan and per-check pricing required.</w:t>
            </w:r>
          </w:p>
        </w:tc>
      </w:tr>
    </w:tbl>
    <w:p>
      <w:pPr>
        <w:spacing w:after="40" w:before="0" w:line="60" w:lineRule="exact"/>
      </w:pPr>
      <w:r>
        <w:rPr>
          <w:sz w:val="4"/>
        </w:rPr>
      </w:r>
    </w:p>
    <w:p>
      <w:pPr>
        <w:pStyle w:val="Heading2"/>
      </w:pPr>
      <w:r>
        <w:t>Operating allowance</w:t>
      </w:r>
    </w:p>
    <w:p>
      <w:r>
        <w:t>Reserve approximately ₦80,000–₦180,000 per month for hosting, staging, storage and modest email usage. This is a planning estimate, not a supplier quotation. It excludes Paystack fees, Dojah usage, staff, delivery and maintenance labour. USD supplier bills convert at the rate charged by the client’s bank on the payment date.</w:t>
      </w:r>
    </w:p>
    <w:p>
      <w:r>
        <w:t>The reference application server, entry database and storage together start around US$44/month, before database extras, staging, email, taxes or exchange conversion. The lowest database tier is not a high-availability commitment; choose standby capacity separately if required [S9].</w:t>
      </w:r>
    </w:p>
    <w:p>
      <w:pPr>
        <w:pStyle w:val="Heading2"/>
      </w:pPr>
      <w:r>
        <w:t>Ownership and handover</w:t>
      </w:r>
    </w:p>
    <w:p>
      <w:r>
        <w:t>Register all accounts in the client’s name. Deliver deployment instructions, environment-variable guidance, source repositories, database migrations, API documentation, backup and restore procedures, and two remote training sessions for company staff. Confirm renewal reminders and the person responsible for incidents.</w:t>
      </w:r>
    </w:p>
    <w:p>
      <w:r>
        <w:t>Deployment setup is included in development fees. Provider bills and domain registration are paid separately. No domain purchase, provider subscription or hosting service is being ordered through this proposal.</w:t>
      </w:r>
    </w:p>
    <w:p>
      <w:pPr>
        <w:pStyle w:val="Heading1"/>
        <w:pageBreakBefore/>
      </w:pPr>
      <w:r>
        <w:t>10 Team and delivery plan</w:t>
      </w:r>
    </w:p>
    <w:p>
      <w:pPr>
        <w:pStyle w:val="Heading2"/>
      </w:pPr>
      <w:r>
        <w:t>Recommended team size</w:t>
      </w:r>
    </w:p>
    <w:p>
      <w:r>
        <w:t>Five delivery contributors, with two engineering roles active throughout the build and three roles engaged part time. The product owner is the client decision maker and is additional to this team. Deployment responsibility sits with the backend lead; a separate DevOps hire is optional for stronger availability requirements.</w:t>
      </w:r>
    </w:p>
    <w:tbl>
      <w:tblPr>
        <w:tblW w:type="auto" w:w="0"/>
        <w:jc w:val="center"/>
        <w:tblLayout w:type="fixed"/>
        <w:tblLook w:firstColumn="1" w:firstRow="1" w:lastColumn="0" w:lastRow="0" w:noHBand="0" w:noVBand="1" w:val="04A0"/>
      </w:tblPr>
      <w:tblGrid>
        <w:gridCol w:w="2088"/>
        <w:gridCol w:w="648"/>
        <w:gridCol w:w="1584"/>
        <w:gridCol w:w="5904"/>
      </w:tblGrid>
      <w:tr>
        <w:trPr>
          <w:tblHeader/>
          <w:cantSplit/>
        </w:trPr>
        <w:tc>
          <w:tcPr>
            <w:tcW w:type="dxa" w:w="2088"/>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Role</w:t>
            </w:r>
          </w:p>
        </w:tc>
        <w:tc>
          <w:tcPr>
            <w:tcW w:type="dxa" w:w="648"/>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Count</w:t>
            </w:r>
          </w:p>
        </w:tc>
        <w:tc>
          <w:tcPr>
            <w:tcW w:type="dxa" w:w="1584"/>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Planning effort</w:t>
            </w:r>
          </w:p>
        </w:tc>
        <w:tc>
          <w:tcPr>
            <w:tcW w:type="dxa" w:w="5904"/>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Responsibility</w:t>
            </w:r>
          </w:p>
        </w:tc>
      </w:tr>
      <w:tr>
        <w:trPr>
          <w:cantSplit/>
        </w:trPr>
        <w:tc>
          <w:tcPr>
            <w:tcW w:type="dxa" w:w="208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Frontend engineer</w:t>
            </w:r>
          </w:p>
        </w:tc>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w:t>
            </w:r>
          </w:p>
        </w:tc>
        <w:tc>
          <w:tcPr>
            <w:tcW w:type="dxa" w:w="15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320 hours</w:t>
            </w:r>
          </w:p>
        </w:tc>
        <w:tc>
          <w:tcPr>
            <w:tcW w:type="dxa" w:w="590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React screens, responsive styling, Redux and frontend tests.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Backend lead</w:t>
            </w:r>
          </w:p>
        </w:tc>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360 hours</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Express APIs, MySQL, payments, verification, sockets, backend tests and deployment.</w:t>
            </w:r>
          </w:p>
        </w:tc>
      </w:tr>
      <w:tr>
        <w:trPr>
          <w:cantSplit/>
        </w:trPr>
        <w:tc>
          <w:tcPr>
            <w:tcW w:type="dxa" w:w="208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UI and UX designer</w:t>
            </w:r>
          </w:p>
        </w:tc>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w:t>
            </w:r>
          </w:p>
        </w:tc>
        <w:tc>
          <w:tcPr>
            <w:tcW w:type="dxa" w:w="15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70 hours</w:t>
            </w:r>
          </w:p>
        </w:tc>
        <w:tc>
          <w:tcPr>
            <w:tcW w:type="dxa" w:w="590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Brand application, shopping flow and seller/admin layouts.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QA engineer</w:t>
            </w:r>
          </w:p>
        </w:tc>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90 hours</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Test scenarios, integration checks, regression and acceptance support.</w:t>
            </w:r>
          </w:p>
        </w:tc>
      </w:tr>
      <w:tr>
        <w:trPr>
          <w:cantSplit/>
        </w:trPr>
        <w:tc>
          <w:tcPr>
            <w:tcW w:type="dxa" w:w="208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Delivery lead</w:t>
            </w:r>
          </w:p>
        </w:tc>
        <w:tc>
          <w:tcPr>
            <w:tcW w:type="dxa" w:w="64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w:t>
            </w:r>
          </w:p>
        </w:tc>
        <w:tc>
          <w:tcPr>
            <w:tcW w:type="dxa" w:w="15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60 hours</w:t>
            </w:r>
          </w:p>
        </w:tc>
        <w:tc>
          <w:tcPr>
            <w:tcW w:type="dxa" w:w="590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Requirements, milestones, demonstrations, approvals and handover.</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Total</w:t>
            </w:r>
          </w:p>
        </w:tc>
        <w:tc>
          <w:tcPr>
            <w:tcW w:type="dxa" w:w="6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5</w:t>
            </w:r>
          </w:p>
        </w:tc>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900 hours</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Distributed over approximately 12 weeks.</w:t>
            </w:r>
          </w:p>
        </w:tc>
      </w:tr>
    </w:tbl>
    <w:p>
      <w:pPr>
        <w:spacing w:after="40" w:before="0" w:line="60" w:lineRule="exact"/>
      </w:pPr>
      <w:r>
        <w:rPr>
          <w:sz w:val="4"/>
        </w:rPr>
      </w:r>
    </w:p>
    <w:p>
      <w:pPr>
        <w:pStyle w:val="Heading2"/>
      </w:pPr>
      <w:r>
        <w:t>Proposed 12 week schedule</w:t>
      </w:r>
    </w:p>
    <w:tbl>
      <w:tblPr>
        <w:tblW w:type="auto" w:w="0"/>
        <w:jc w:val="center"/>
        <w:tblLayout w:type="fixed"/>
        <w:tblLook w:firstColumn="1" w:firstRow="1" w:lastColumn="0" w:lastRow="0" w:noHBand="0" w:noVBand="1" w:val="04A0"/>
      </w:tblPr>
      <w:tblGrid>
        <w:gridCol w:w="792"/>
        <w:gridCol w:w="3384"/>
        <w:gridCol w:w="3384"/>
        <w:gridCol w:w="2664"/>
      </w:tblGrid>
      <w:tr>
        <w:trPr>
          <w:tblHeader/>
          <w:cantSplit/>
        </w:trPr>
        <w:tc>
          <w:tcPr>
            <w:tcW w:type="dxa" w:w="79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Weeks</w:t>
            </w:r>
          </w:p>
        </w:tc>
        <w:tc>
          <w:tcPr>
            <w:tcW w:type="dxa" w:w="3384"/>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Backend milestone</w:t>
            </w:r>
          </w:p>
        </w:tc>
        <w:tc>
          <w:tcPr>
            <w:tcW w:type="dxa" w:w="3384"/>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Frontend milestone</w:t>
            </w:r>
          </w:p>
        </w:tc>
        <w:tc>
          <w:tcPr>
            <w:tcW w:type="dxa" w:w="2664"/>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Client review</w:t>
            </w:r>
          </w:p>
        </w:tc>
      </w:tr>
      <w:tr>
        <w:trPr>
          <w:cantSplit/>
        </w:trPr>
        <w:tc>
          <w:tcPr>
            <w:tcW w:type="dxa" w:w="7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1–2</w:t>
            </w:r>
          </w:p>
        </w:tc>
        <w:tc>
          <w:tcPr>
            <w:tcW w:type="dxa" w:w="33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Data model, permissions, API contracts and provider setup.</w:t>
            </w:r>
          </w:p>
        </w:tc>
        <w:tc>
          <w:tcPr>
            <w:tcW w:type="dxa" w:w="33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Brand direction and customer, seller and admin designs.</w:t>
            </w:r>
          </w:p>
        </w:tc>
        <w:tc>
          <w:tcPr>
            <w:tcW w:type="dxa" w:w="266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Approve operating rules and designs.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3–4</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Accounts, seller verification, catalogue and stock APIs.</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Storefront browsing and customer account screens.</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Demonstrate browsing and seller application.</w:t>
            </w:r>
          </w:p>
        </w:tc>
      </w:tr>
      <w:tr>
        <w:trPr>
          <w:cantSplit/>
        </w:trPr>
        <w:tc>
          <w:tcPr>
            <w:tcW w:type="dxa" w:w="7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5–6</w:t>
            </w:r>
          </w:p>
        </w:tc>
        <w:tc>
          <w:tcPr>
            <w:tcW w:type="dxa" w:w="33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Orders, delivery fees, Paystack and payment ledger.</w:t>
            </w:r>
          </w:p>
        </w:tc>
        <w:tc>
          <w:tcPr>
            <w:tcW w:type="dxa" w:w="33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Basket, checkout, receipts and order history.</w:t>
            </w:r>
          </w:p>
        </w:tc>
        <w:tc>
          <w:tcPr>
            <w:tcW w:type="dxa" w:w="266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Test purchases and Lagos delivery rules.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7–8</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Commissions, payouts, returns and admin permissions.</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Seller workspace and admin operations screens.</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Review seller earnings and fulfilment.</w:t>
            </w:r>
          </w:p>
        </w:tc>
      </w:tr>
      <w:tr>
        <w:trPr>
          <w:cantSplit/>
        </w:trPr>
        <w:tc>
          <w:tcPr>
            <w:tcW w:type="dxa" w:w="7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9–10</w:t>
            </w:r>
          </w:p>
        </w:tc>
        <w:tc>
          <w:tcPr>
            <w:tcW w:type="dxa" w:w="33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Chat, notifications, reporting and reliability fixes.</w:t>
            </w:r>
          </w:p>
        </w:tc>
        <w:tc>
          <w:tcPr>
            <w:tcW w:type="dxa" w:w="338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Support chat, reports, marketing and responsive polish.</w:t>
            </w:r>
          </w:p>
        </w:tc>
        <w:tc>
          <w:tcPr>
            <w:tcW w:type="dxa" w:w="266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Review complete selected workflows.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11–12</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Security, load checks, deployment and restore test.</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Regression fixes and browser acceptance testing.</w:t>
            </w:r>
          </w:p>
        </w:tc>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Approve release and complete training.</w:t>
            </w:r>
          </w:p>
        </w:tc>
      </w:tr>
    </w:tbl>
    <w:p>
      <w:pPr>
        <w:spacing w:after="40" w:before="0" w:line="60" w:lineRule="exact"/>
      </w:pPr>
      <w:r>
        <w:rPr>
          <w:sz w:val="4"/>
        </w:rPr>
      </w:r>
    </w:p>
    <w:p>
      <w:r>
        <w:t>Backend and frontend milestones remain separate but proceed concurrently after the API contract is agreed. The schedule assumes client feedback within two working days, ready product content and timely service approvals. Scope changes or delayed decisions require a revised plan.</w:t>
      </w:r>
    </w:p>
    <w:p>
      <w:pPr>
        <w:pStyle w:val="Heading1"/>
        <w:pageBreakBefore/>
      </w:pPr>
      <w:r>
        <w:t>11 Full scope price and justification</w:t>
      </w:r>
    </w:p>
    <w:p>
      <w:r>
        <w:t>Proposed fixed development fee: ₦4,000,000 before any applicable taxes, conditional on the agreed requirements and limits. The client’s ₦2,000,000 budget covers 50% of this proposed full-scope fee.</w:t>
      </w:r>
    </w:p>
    <w:tbl>
      <w:tblPr>
        <w:tblW w:type="auto" w:w="0"/>
        <w:jc w:val="center"/>
        <w:tblLayout w:type="fixed"/>
        <w:tblLook w:firstColumn="1" w:firstRow="1" w:lastColumn="0" w:lastRow="0" w:noHBand="0" w:noVBand="1" w:val="04A0"/>
      </w:tblPr>
      <w:tblGrid>
        <w:gridCol w:w="4176"/>
        <w:gridCol w:w="792"/>
        <w:gridCol w:w="1800"/>
        <w:gridCol w:w="3456"/>
      </w:tblGrid>
      <w:tr>
        <w:trPr>
          <w:tblHeader/>
          <w:cantSplit/>
        </w:trPr>
        <w:tc>
          <w:tcPr>
            <w:tcW w:type="dxa" w:w="4176"/>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Work allocation</w:t>
            </w:r>
          </w:p>
        </w:tc>
        <w:tc>
          <w:tcPr>
            <w:tcW w:type="dxa" w:w="79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Hours</w:t>
            </w:r>
          </w:p>
        </w:tc>
        <w:tc>
          <w:tcPr>
            <w:tcW w:type="dxa" w:w="1800"/>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Planning rate</w:t>
            </w:r>
          </w:p>
        </w:tc>
        <w:tc>
          <w:tcPr>
            <w:tcW w:type="dxa" w:w="3456"/>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Amount</w:t>
            </w:r>
          </w:p>
        </w:tc>
      </w:tr>
      <w:tr>
        <w:trPr>
          <w:cantSplit/>
        </w:trPr>
        <w:tc>
          <w:tcPr>
            <w:tcW w:type="dxa" w:w="417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Frontend engineering</w:t>
            </w:r>
          </w:p>
        </w:tc>
        <w:tc>
          <w:tcPr>
            <w:tcW w:type="dxa" w:w="7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320</w:t>
            </w:r>
          </w:p>
        </w:tc>
        <w:tc>
          <w:tcPr>
            <w:tcW w:type="dxa" w:w="180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₦4,000/hour</w:t>
            </w:r>
          </w:p>
        </w:tc>
        <w:tc>
          <w:tcPr>
            <w:tcW w:type="dxa" w:w="34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₦1,280,000</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Backend engineering and deployment</w:t>
            </w:r>
          </w:p>
        </w:tc>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360</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₦4,000/hour</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₦1,440,000</w:t>
            </w:r>
          </w:p>
        </w:tc>
      </w:tr>
      <w:tr>
        <w:trPr>
          <w:cantSplit/>
        </w:trPr>
        <w:tc>
          <w:tcPr>
            <w:tcW w:type="dxa" w:w="417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UI and UX design</w:t>
            </w:r>
          </w:p>
        </w:tc>
        <w:tc>
          <w:tcPr>
            <w:tcW w:type="dxa" w:w="7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70</w:t>
            </w:r>
          </w:p>
        </w:tc>
        <w:tc>
          <w:tcPr>
            <w:tcW w:type="dxa" w:w="180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₦4,000/hour</w:t>
            </w:r>
          </w:p>
        </w:tc>
        <w:tc>
          <w:tcPr>
            <w:tcW w:type="dxa" w:w="34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₦280,000</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Quality assurance</w:t>
            </w:r>
          </w:p>
        </w:tc>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90</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₦4,000/hour</w:t>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₦360,000</w:t>
            </w:r>
          </w:p>
        </w:tc>
      </w:tr>
      <w:tr>
        <w:trPr>
          <w:cantSplit/>
        </w:trPr>
        <w:tc>
          <w:tcPr>
            <w:tcW w:type="dxa" w:w="417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Delivery management and handover</w:t>
            </w:r>
          </w:p>
        </w:tc>
        <w:tc>
          <w:tcPr>
            <w:tcW w:type="dxa" w:w="7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60</w:t>
            </w:r>
          </w:p>
        </w:tc>
        <w:tc>
          <w:tcPr>
            <w:tcW w:type="dxa" w:w="180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₦4,000/hour</w:t>
            </w:r>
          </w:p>
        </w:tc>
        <w:tc>
          <w:tcPr>
            <w:tcW w:type="dxa" w:w="34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₦240,000</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Base effort</w:t>
            </w:r>
          </w:p>
        </w:tc>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900</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₦3,600,000</w:t>
            </w:r>
          </w:p>
        </w:tc>
      </w:tr>
      <w:tr>
        <w:trPr>
          <w:cantSplit/>
        </w:trPr>
        <w:tc>
          <w:tcPr>
            <w:tcW w:type="dxa" w:w="417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Integration and delivery contingency</w:t>
            </w:r>
          </w:p>
        </w:tc>
        <w:tc>
          <w:tcPr>
            <w:tcW w:type="dxa" w:w="7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r>
          </w:p>
        </w:tc>
        <w:tc>
          <w:tcPr>
            <w:tcW w:type="dxa" w:w="180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r>
          </w:p>
        </w:tc>
        <w:tc>
          <w:tcPr>
            <w:tcW w:type="dxa" w:w="3456"/>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₦400,000</w:t>
            </w:r>
          </w:p>
        </w:tc>
      </w:tr>
      <w:tr>
        <w:trPr>
          <w:cantSplit/>
        </w:trP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Total proposed fee</w:t>
            </w:r>
          </w:p>
        </w:tc>
        <w:tc>
          <w:tcPr>
            <w:tcW w:type="dxa" w:w="7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r>
          </w:p>
        </w:tc>
        <w:tc>
          <w:tcPr>
            <w:tcW w:type="dxa" w:w="34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₦4,000,000</w:t>
            </w:r>
          </w:p>
        </w:tc>
      </w:tr>
    </w:tbl>
    <w:p>
      <w:pPr>
        <w:spacing w:after="40" w:before="0" w:line="60" w:lineRule="exact"/>
      </w:pPr>
      <w:r>
        <w:rPr>
          <w:sz w:val="4"/>
        </w:rPr>
      </w:r>
    </w:p>
    <w:p>
      <w:pPr>
        <w:pStyle w:val="Heading2"/>
      </w:pPr>
      <w:r>
        <w:t>Why this price is justified</w:t>
      </w:r>
    </w:p>
    <w:p>
      <w:r>
        <w:t>The project contains three substantial user experiences: customer shopping, seller operations and company administration. The backend must protect inventory and money while coordinating orders across sellers. These requirements create more work than product pages and a checkout alone.</w:t>
      </w:r>
    </w:p>
    <w:p>
      <w:r>
        <w:t>The estimate includes seller verification and approval, commissions, seller transfer reconciliation, pay-on-delivery collection, partial returns and refund adjustments. Live chat, permission controls, marketing consent, tests and deployment are additional deliverables. The contingency is approximately 11% of base effort and covers normal integration uncertainty within the agreed scope.</w:t>
      </w:r>
    </w:p>
    <w:p>
      <w:r>
        <w:t>₦4,000 per hour is a transparent blended planning assumption across the team, not a verified salary rate or market benchmark. Obtain the delivery team’s actual availability and commercial rates before issuing a binding quotation.</w:t>
      </w:r>
    </w:p>
    <w:p>
      <w:pPr>
        <w:pStyle w:val="Heading2"/>
      </w:pPr>
      <w:r>
        <w:t>Suggested payment milestones</w:t>
      </w:r>
    </w:p>
    <w:tbl>
      <w:tblPr>
        <w:tblW w:type="auto" w:w="0"/>
        <w:jc w:val="center"/>
        <w:tblLayout w:type="fixed"/>
        <w:tblLook w:firstColumn="1" w:firstRow="1" w:lastColumn="0" w:lastRow="0" w:noHBand="0" w:noVBand="1" w:val="04A0"/>
      </w:tblPr>
      <w:tblGrid>
        <w:gridCol w:w="6192"/>
        <w:gridCol w:w="1008"/>
        <w:gridCol w:w="3024"/>
      </w:tblGrid>
      <w:tr>
        <w:trPr>
          <w:tblHeader/>
          <w:cantSplit/>
        </w:trPr>
        <w:tc>
          <w:tcPr>
            <w:tcW w:type="dxa" w:w="619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Milestone</w:t>
            </w:r>
          </w:p>
        </w:tc>
        <w:tc>
          <w:tcPr>
            <w:tcW w:type="dxa" w:w="1008"/>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Share</w:t>
            </w:r>
          </w:p>
        </w:tc>
        <w:tc>
          <w:tcPr>
            <w:tcW w:type="dxa" w:w="3024"/>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Payment</w:t>
            </w:r>
          </w:p>
        </w:tc>
      </w:tr>
      <w:tr>
        <w:trPr>
          <w:cantSplit/>
        </w:trPr>
        <w:tc>
          <w:tcPr>
            <w:tcW w:type="dxa" w:w="61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Agreement and kickoff</w:t>
            </w:r>
          </w:p>
        </w:tc>
        <w:tc>
          <w:tcPr>
            <w:tcW w:type="dxa" w:w="100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w:t>
            </w:r>
          </w:p>
        </w:tc>
        <w:tc>
          <w:tcPr>
            <w:tcW w:type="dxa" w:w="302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₦1,600,000</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Approved staging demo of buying and seller/admin operations</w:t>
            </w:r>
          </w:p>
        </w:tc>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30%</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₦1,200,000</w:t>
            </w:r>
          </w:p>
        </w:tc>
      </w:tr>
      <w:tr>
        <w:trPr>
          <w:cantSplit/>
        </w:trPr>
        <w:tc>
          <w:tcPr>
            <w:tcW w:type="dxa" w:w="61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Acceptance testing passed and release approved</w:t>
            </w:r>
          </w:p>
        </w:tc>
        <w:tc>
          <w:tcPr>
            <w:tcW w:type="dxa" w:w="1008"/>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20%</w:t>
            </w:r>
          </w:p>
        </w:tc>
        <w:tc>
          <w:tcPr>
            <w:tcW w:type="dxa" w:w="3024"/>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₦800,000</w:t>
            </w:r>
          </w:p>
        </w:tc>
      </w:tr>
      <w:tr>
        <w:trPr>
          <w:cantSplit/>
        </w:trPr>
        <w:tc>
          <w:tcPr>
            <w:tcW w:type="dxa" w:w="61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Deployment, documentation and training completed</w:t>
            </w:r>
          </w:p>
        </w:tc>
        <w:tc>
          <w:tcPr>
            <w:tcW w:type="dxa" w:w="10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10%</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₦400,000</w:t>
            </w:r>
          </w:p>
        </w:tc>
      </w:tr>
    </w:tbl>
    <w:p>
      <w:pPr>
        <w:spacing w:after="40" w:before="0" w:line="60" w:lineRule="exact"/>
      </w:pPr>
      <w:r>
        <w:rPr>
          <w:sz w:val="4"/>
        </w:rPr>
      </w:r>
    </w:p>
    <w:p>
      <w:r>
        <w:t>Include 30 days of defect correction for accepted scope after launch. Additional features and operational support are separate. Optional ongoing maintenance: allow ₦100,000–₦200,000/month, with hours and response times agreed in a separate contract.</w:t>
      </w:r>
    </w:p>
    <w:p>
      <w:pPr>
        <w:pStyle w:val="Heading1"/>
        <w:pageBreakBefore/>
      </w:pPr>
      <w:r>
        <w:t>12 Launch option within two million naira</w:t>
      </w:r>
    </w:p>
    <w:p>
      <w:r>
        <w:t>Offer a controlled marketplace launch for ₦2,000,000 if the client accepts the reductions below. This preserves the three stated priorities while reducing automation and secondary features. These changes are proposals; selected features are not silently removed.</w:t>
      </w:r>
    </w:p>
    <w:tbl>
      <w:tblPr>
        <w:tblW w:type="auto" w:w="0"/>
        <w:jc w:val="center"/>
        <w:tblLayout w:type="fixed"/>
        <w:tblLook w:firstColumn="1" w:firstRow="1" w:lastColumn="0" w:lastRow="0" w:noHBand="0" w:noVBand="1" w:val="04A0"/>
      </w:tblPr>
      <w:tblGrid>
        <w:gridCol w:w="1512"/>
        <w:gridCol w:w="4392"/>
        <w:gridCol w:w="4320"/>
      </w:tblGrid>
      <w:tr>
        <w:trPr>
          <w:tblHeader/>
          <w:cantSplit/>
        </w:trPr>
        <w:tc>
          <w:tcPr>
            <w:tcW w:type="dxa" w:w="151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Area</w:t>
            </w:r>
          </w:p>
        </w:tc>
        <w:tc>
          <w:tcPr>
            <w:tcW w:type="dxa" w:w="4392"/>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Include at launch</w:t>
            </w:r>
          </w:p>
        </w:tc>
        <w:tc>
          <w:tcPr>
            <w:tcW w:type="dxa" w:w="4320"/>
            <w:vAlign w:val="center"/>
            <w:shd w:fill="DDEEE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9"/>
              </w:rPr>
              <w:t>Defer or simplify</w:t>
            </w:r>
          </w:p>
        </w:tc>
      </w:tr>
      <w:tr>
        <w:trPr>
          <w:cantSplit/>
        </w:trPr>
        <w:tc>
          <w:tcPr>
            <w:tcW w:type="dxa" w:w="15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Storefront</w:t>
            </w:r>
          </w:p>
        </w:tc>
        <w:tc>
          <w:tcPr>
            <w:tcW w:type="dxa" w:w="43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Categories, name search, basic price/brand filters, product pages and basket.</w:t>
            </w:r>
          </w:p>
        </w:tc>
        <w:tc>
          <w:tcPr>
            <w:tcW w:type="dxa" w:w="432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Popularity sorting, reviews and related products deferred.</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Customer accounts</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Guest checkout, account login, password reset, saved addresses and order history.</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NGN checkout only; USD display and payments deferred.</w:t>
            </w:r>
          </w:p>
        </w:tc>
      </w:tr>
      <w:tr>
        <w:trPr>
          <w:cantSplit/>
        </w:trPr>
        <w:tc>
          <w:tcPr>
            <w:tcW w:type="dxa" w:w="15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Payments</w:t>
            </w:r>
          </w:p>
        </w:tc>
        <w:tc>
          <w:tcPr>
            <w:tcW w:type="dxa" w:w="43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Paystack card/transfer channels, confirmation email and receipt; controlled pay on delivery.</w:t>
            </w:r>
          </w:p>
        </w:tc>
        <w:tc>
          <w:tcPr>
            <w:tcW w:type="dxa" w:w="432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Seller transfers executed outside the site by finance; record references and balances in admin.</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Sellers</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One Dojah workflow, admin approval, basic own-product/stock/order workspace and fixed commission.</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No automated payout processing or advanced seller reports. One seller per checkout; company treated as a seller.</w:t>
            </w:r>
          </w:p>
        </w:tc>
      </w:tr>
      <w:tr>
        <w:trPr>
          <w:cantSplit/>
        </w:trPr>
        <w:tc>
          <w:tcPr>
            <w:tcW w:type="dxa" w:w="15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Delivery and returns</w:t>
            </w:r>
          </w:p>
        </w:tc>
        <w:tc>
          <w:tcPr>
            <w:tcW w:type="dxa" w:w="43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Lagos zones, pickup, fees, estimated delivery and manual status updates. Customer return request and admin review.</w:t>
            </w:r>
          </w:p>
        </w:tc>
        <w:tc>
          <w:tcPr>
            <w:tcW w:type="dxa" w:w="432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Refunds executed by authorised staff in provider dashboard and reconciled in the site.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Admin and support</w:t>
            </w:r>
          </w:p>
        </w:tc>
        <w:tc>
          <w:tcPr>
            <w:tcW w:type="dxa" w:w="43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Product, stock, order and seller management; low-stock alerts, basic roles, basic sales totals and homepage banners.</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Custom live chat and marketing broadcasts deferred; show support contact details and a support email link.</w:t>
            </w:r>
          </w:p>
        </w:tc>
      </w:tr>
      <w:tr>
        <w:trPr>
          <w:cantSplit/>
        </w:trPr>
        <w:tc>
          <w:tcPr>
            <w:tcW w:type="dxa" w:w="151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Release quality</w:t>
            </w:r>
          </w:p>
        </w:tc>
        <w:tc>
          <w:tcPr>
            <w:tcW w:type="dxa" w:w="4392"/>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Jest/Mocha for critical journeys, mobile testing, deployment, backup check and staff training.</w:t>
            </w:r>
          </w:p>
        </w:tc>
        <w:tc>
          <w:tcPr>
            <w:tcW w:type="dxa" w:w="4320"/>
            <w:vAlign w:val="center"/>
            <w:shd w:fill="F6F9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9"/>
              </w:rPr>
              <w:t>Advanced reporting, exports and full multi-seller checkout deferred.</w:t>
            </w:r>
          </w:p>
        </w:tc>
      </w:tr>
    </w:tbl>
    <w:p>
      <w:pPr>
        <w:spacing w:after="40" w:before="0" w:line="60" w:lineRule="exact"/>
      </w:pPr>
      <w:r>
        <w:rPr>
          <w:sz w:val="4"/>
        </w:rPr>
      </w:r>
    </w:p>
    <w:p>
      <w:pPr>
        <w:pStyle w:val="Heading2"/>
      </w:pPr>
      <w:r>
        <w:t>Launch fee basis</w:t>
      </w:r>
    </w:p>
    <w:p>
      <w:r>
        <w:t>430 planned hours × ₦4,000 = ₦1,720,000, plus ₦280,000 delivery contingency = ₦2,000,000. Proposed hours: frontend 150, backend 190, design 30, QA 40 and delivery lead 20. The same five roles are retained with reduced allocation. Suggested duration is 10–12 weeks.</w:t>
      </w:r>
    </w:p>
    <w:p>
      <w:r>
        <w:t>The deferred expansion is approximately ₦2,000,000 more at today’s planning assumptions: the remaining 470 hours represent ₦1,880,000 plus ₦120,000 contingency. Re-estimate against the actual launch release before commissioning expansion; this is not a guaranteed later fixed price.</w:t>
      </w:r>
    </w:p>
    <w:p>
      <w:r>
        <w:t>If the client’s ₦2,000,000 must also pay for third-party services and hosting, reserve those costs first and reduce the development scope again. Neither option includes ongoing operating bills. Actual USD settlement remains outside both base options pending a separate agreed workflow.</w:t>
      </w:r>
    </w:p>
    <w:p>
      <w:pPr>
        <w:pStyle w:val="Heading1"/>
        <w:pageBreakBefore/>
      </w:pPr>
      <w:r>
        <w:t>13 Decisions and approval</w:t>
      </w:r>
    </w:p>
    <w:p>
      <w:pPr>
        <w:pStyle w:val="Heading2"/>
      </w:pPr>
      <w:r>
        <w:t>Decisions required before kickoff</w:t>
      </w:r>
    </w:p>
    <w:p>
      <w:pPr>
        <w:pStyle w:val="ListBullet"/>
      </w:pPr>
      <w:r>
        <w:t>Confirm the final store name, logo files and light green brand colours; confirm the company sells alongside independent sellers.</w:t>
      </w:r>
    </w:p>
    <w:p>
      <w:pPr>
        <w:pStyle w:val="ListBullet"/>
      </w:pPr>
      <w:r>
        <w:t>Choose the ₦4,000,000 full-scope proposal or the ₦2,000,000 launch option, and clarify whether the budget includes taxes and operating bills.</w:t>
      </w:r>
    </w:p>
    <w:p>
      <w:pPr>
        <w:pStyle w:val="ListBullet"/>
      </w:pPr>
      <w:r>
        <w:t>Decide whether US dollars are display only or an actual payment currency. Agree conversion, refunds and seller settlement before pricing USD payment work.</w:t>
      </w:r>
    </w:p>
    <w:p>
      <w:pPr>
        <w:pStyle w:val="ListBullet"/>
      </w:pPr>
      <w:r>
        <w:t>Approve seller eligibility and the Dojah verification flow, required documents, manual review rules and data retention policy.</w:t>
      </w:r>
    </w:p>
    <w:p>
      <w:pPr>
        <w:pStyle w:val="ListBullet"/>
      </w:pPr>
      <w:r>
        <w:t>Set the commission rate, who bears transaction fees, payout hold, payout frequency and treatment of refunds after a seller has been paid.</w:t>
      </w:r>
    </w:p>
    <w:p>
      <w:pPr>
        <w:pStyle w:val="ListBullet"/>
      </w:pPr>
      <w:r>
        <w:t>Provide Lagos delivery zones, fees, pickup addresses, expected delivery times and pay-on-delivery eligibility rules.</w:t>
      </w:r>
    </w:p>
    <w:p>
      <w:pPr>
        <w:pStyle w:val="ListBullet"/>
      </w:pPr>
      <w:r>
        <w:t>Provide returns, cancellation and refund policies; approve support hours and who operates company chat and delivery updates.</w:t>
      </w:r>
    </w:p>
    <w:p>
      <w:pPr>
        <w:pStyle w:val="ListBullet"/>
      </w:pPr>
      <w:r>
        <w:t>Confirm initial catalogue and seller numbers, provide product content, open provider accounts and appoint the client acceptance tester.</w:t>
      </w:r>
    </w:p>
    <w:p>
      <w:pPr>
        <w:pStyle w:val="Heading2"/>
      </w:pPr>
      <w:r>
        <w:t>Success measures</w:t>
      </w:r>
    </w:p>
    <w:p>
      <w:r>
        <w:t>Launch acceptance means an authorised customer can buy, an approved seller can manage its catalogue, and company staff can fulfil, reconcile and report orders within the chosen scope. After launch, measure payment success, checkout completion, delivery timeliness, seller approval time, refund turnaround and support response time. Set business targets after pilot data is available.</w:t>
      </w:r>
    </w:p>
    <w:p>
      <w:pPr>
        <w:pStyle w:val="Heading2"/>
      </w:pPr>
      <w:r>
        <w:t>Change control</w:t>
      </w:r>
    </w:p>
    <w:p>
      <w:r>
        <w:t>After approval, any new feature or revised operating rule receives a written impact on price and timing before implementation. A selected feature deferred in the launch option belongs to a later release only when that later release is separately commissioned.</w:t>
      </w:r>
    </w:p>
    <w:p>
      <w:pPr>
        <w:pStyle w:val="Heading2"/>
      </w:pPr>
      <w:r>
        <w:t>Client approval record</w:t>
      </w:r>
    </w:p>
    <w:p>
      <w:r>
        <w:t>Chosen option:  Full scope / Budget launch    Agreed development fee: __________</w:t>
      </w:r>
    </w:p>
    <w:p>
      <w:r>
        <w:t>Budget includes operating bills:  Yes / No    Agreed kickoff date: ______________</w:t>
      </w:r>
    </w:p>
    <w:p>
      <w:r>
        <w:t>Client name and signature: ______________________  Date: _______________</w:t>
      </w:r>
    </w:p>
    <w:p>
      <w:r>
        <w:t>Delivery representative: _________________________  Date: _______________</w:t>
      </w:r>
    </w:p>
    <w:p>
      <w:r>
        <w:t>Approval records the chosen scope and proposal. Final contractual terms, applicable taxes, ownership transfer and service responsibilities must be stated in the project agreement.</w:t>
      </w:r>
    </w:p>
    <w:p>
      <w:pPr>
        <w:pStyle w:val="Heading1"/>
        <w:pageBreakBefore/>
      </w:pPr>
      <w:r>
        <w:t>14 Reference notes</w:t>
      </w:r>
    </w:p>
    <w:p>
      <w:r>
        <w:t>Provider information checked on 09 October 2026. Supplier features, approval rules and fees can change; confirm the account-specific terms before launch. Development, staffing and naira operating allowances are project estimates, not published supplier quotes.</w:t>
      </w:r>
    </w:p>
    <w:p>
      <w:pPr>
        <w:keepLines/>
        <w:spacing w:after="160"/>
      </w:pPr>
      <w:r>
        <w:rPr>
          <w:b/>
          <w:sz w:val="18"/>
        </w:rPr>
        <w:t>S1 Paystack transaction fees</w:t>
        <w:br/>
      </w:r>
      <w:r>
        <w:rPr>
          <w:sz w:val="18"/>
        </w:rPr>
        <w:t>Published Nigerian local payment fee: 1.5% + ₦100, capped at ₦2,000; the ₦100 component is waived below ₦2,500. Separate transfer or international fees may apply.</w:t>
        <w:br/>
        <w:t>https://support.paystack.com/en/articles/2130306</w:t>
      </w:r>
    </w:p>
    <w:p>
      <w:pPr>
        <w:keepLines/>
        <w:spacing w:after="160"/>
      </w:pPr>
      <w:r>
        <w:rPr>
          <w:b/>
          <w:sz w:val="18"/>
        </w:rPr>
        <w:t>S2 Paystack international and USD payments</w:t>
        <w:br/>
      </w:r>
      <w:r>
        <w:rPr>
          <w:sz w:val="18"/>
        </w:rPr>
        <w:t>Nigeria supports NGN and eligible USD collections. USD payout setup requires the supported domiciliary account and provider approval.</w:t>
        <w:br/>
        <w:t>https://support.paystack.com/en/articles/2130690</w:t>
      </w:r>
    </w:p>
    <w:p>
      <w:pPr>
        <w:keepLines/>
        <w:spacing w:after="160"/>
      </w:pPr>
      <w:r>
        <w:rPr>
          <w:b/>
          <w:sz w:val="18"/>
        </w:rPr>
        <w:t>S3 Apache Friends XAMPP FAQ</w:t>
        <w:br/>
      </w:r>
      <w:r>
        <w:rPr>
          <w:sz w:val="18"/>
        </w:rPr>
        <w:t>XAMPP ships MariaDB rather than MySQL. The proposed local setup uses a separate MySQL instance for production parity.</w:t>
        <w:br/>
        <w:t>https://www.apachefriends.org/faq_windows.html</w:t>
      </w:r>
    </w:p>
    <w:p>
      <w:pPr>
        <w:keepLines/>
        <w:spacing w:after="160"/>
      </w:pPr>
      <w:r>
        <w:rPr>
          <w:b/>
          <w:sz w:val="18"/>
        </w:rPr>
        <w:t>S4 Paystack payment verification and webhooks</w:t>
        <w:br/>
      </w:r>
      <w:r>
        <w:rPr>
          <w:sz w:val="18"/>
        </w:rPr>
        <w:t>Payment notifications carry signatures; implementation must verify notifications and reconcile transactions. See also https://paystack.com/docs/payments/verify-payments/.</w:t>
        <w:br/>
        <w:t>https://paystack.com/docs/payments/webhooks/</w:t>
      </w:r>
    </w:p>
    <w:p>
      <w:pPr>
        <w:keepLines/>
        <w:spacing w:after="160"/>
      </w:pPr>
      <w:r>
        <w:rPr>
          <w:b/>
          <w:sz w:val="18"/>
        </w:rPr>
        <w:t>S5 Dojah verification and pricing</w:t>
        <w:br/>
      </w:r>
      <w:r>
        <w:rPr>
          <w:sz w:val="18"/>
        </w:rPr>
        <w:t>Identity verification tools are available. Obtain a quote for the actual checks, volumes and retries; published starting API-call prices do not represent a complete seller verification cost. Pricing: https://dojah.io/pricing.</w:t>
        <w:br/>
        <w:t>https://dojah.io/all-products/id-verification-widget</w:t>
      </w:r>
    </w:p>
    <w:p>
      <w:pPr>
        <w:keepLines/>
        <w:spacing w:after="160"/>
      </w:pPr>
      <w:r>
        <w:rPr>
          <w:b/>
          <w:sz w:val="18"/>
        </w:rPr>
        <w:t>S6 Resend email service</w:t>
        <w:br/>
      </w:r>
      <w:r>
        <w:rPr>
          <w:sz w:val="18"/>
        </w:rPr>
        <w:t>Transactional and marketing sending are treated separately. Confirm plan limits and authenticate the client’s sending domain.</w:t>
        <w:br/>
        <w:t>https://resend.com/pricing</w:t>
      </w:r>
    </w:p>
    <w:p>
      <w:pPr>
        <w:keepLines/>
        <w:spacing w:after="160"/>
      </w:pPr>
      <w:r>
        <w:rPr>
          <w:b/>
          <w:sz w:val="18"/>
        </w:rPr>
        <w:t>S7 Socket.IO delivery guarantees</w:t>
        <w:br/>
      </w:r>
      <w:r>
        <w:rPr>
          <w:sz w:val="18"/>
        </w:rPr>
        <w:t>Default event delivery is at most once. Persist chat and order records and add acknowledgement/recovery handling where needed.</w:t>
        <w:br/>
        <w:t>https://socket.io/docs/v4/delivery-guarantees</w:t>
      </w:r>
    </w:p>
    <w:p>
      <w:pPr>
        <w:keepLines/>
        <w:spacing w:after="160"/>
      </w:pPr>
      <w:r>
        <w:rPr>
          <w:b/>
          <w:sz w:val="18"/>
        </w:rPr>
        <w:t>S8 DigitalOcean application server</w:t>
        <w:br/>
      </w:r>
      <w:r>
        <w:rPr>
          <w:sz w:val="18"/>
        </w:rPr>
        <w:t>Reference basic 4 GB / 2 vCPU server: US$24 per month before extras.</w:t>
        <w:br/>
        <w:t>https://www.digitalocean.com/pricing/droplets</w:t>
      </w:r>
    </w:p>
    <w:p>
      <w:pPr>
        <w:keepLines/>
        <w:spacing w:after="160"/>
      </w:pPr>
      <w:r>
        <w:rPr>
          <w:b/>
          <w:sz w:val="18"/>
        </w:rPr>
        <w:t>S9 DigitalOcean MySQL</w:t>
        <w:br/>
      </w:r>
      <w:r>
        <w:rPr>
          <w:sz w:val="18"/>
        </w:rPr>
        <w:t>Managed MySQL starts around US$15 per month; high availability, storage and standby capacity increase charges.</w:t>
        <w:br/>
        <w:t>https://docs.digitalocean.com/products/databases/mysql/details/pricing/</w:t>
      </w:r>
    </w:p>
    <w:p>
      <w:pPr>
        <w:keepLines/>
        <w:spacing w:after="160"/>
      </w:pPr>
      <w:r>
        <w:rPr>
          <w:b/>
          <w:sz w:val="18"/>
        </w:rPr>
        <w:t>S10 DigitalOcean object storage</w:t>
        <w:br/>
      </w:r>
      <w:r>
        <w:rPr>
          <w:sz w:val="18"/>
        </w:rPr>
        <w:t>Spaces starting reference: US$5 per month.</w:t>
        <w:br/>
        <w:t>https://www.digitalocean.com/pricing</w:t>
      </w:r>
    </w:p>
    <w:p>
      <w:r>
        <w:t>Cost illustration: a ₦10,000 local payment at the published Paystack rate attracts ₦250 in processing fees [S1]. On 100 such payments, fees total ₦25,000 before other applicable charges. The development fee pays for building the integration, not these transaction costs.</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3845D"/>
        <w:sz w:val="16"/>
      </w:rPr>
      <w:t>CLIENT REVIEW  •  09 OCTOBER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TEST STORE  |  PROJECT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Store Project Requirements Document</dc:title>
  <dc:subject>Marketplace scope technology budget and delivery</dc:subject>
  <dc:creator>Project Delivery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