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09664">
            <wp:simplePos x="0" y="0"/>
            <wp:positionH relativeFrom="page">
              <wp:posOffset>4781550</wp:posOffset>
            </wp:positionH>
            <wp:positionV relativeFrom="page">
              <wp:posOffset>609600</wp:posOffset>
            </wp:positionV>
            <wp:extent cx="1280160" cy="128015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sz w:val="2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7"/>
        <w:gridCol w:w="4356"/>
      </w:tblGrid>
      <w:tr>
        <w:trPr>
          <w:trHeight w:val="990" w:hRule="atLeast"/>
        </w:trPr>
        <w:tc>
          <w:tcPr>
            <w:tcW w:w="4357" w:type="dxa"/>
          </w:tcPr>
          <w:p>
            <w:pPr>
              <w:pStyle w:val="TableParagraph"/>
              <w:spacing w:line="357" w:lineRule="exact"/>
              <w:ind w:left="0" w:right="66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Carlos</w:t>
            </w:r>
            <w:r>
              <w:rPr>
                <w:rFonts w:ascii="Arial"/>
                <w:b/>
                <w:spacing w:val="-19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Colmenares</w:t>
            </w:r>
            <w:r>
              <w:rPr>
                <w:rFonts w:ascii="Arial"/>
                <w:b/>
                <w:spacing w:val="-14"/>
                <w:sz w:val="32"/>
              </w:rPr>
              <w:t> </w:t>
            </w:r>
            <w:r>
              <w:rPr>
                <w:rFonts w:ascii="Arial"/>
                <w:b/>
                <w:spacing w:val="-5"/>
                <w:sz w:val="32"/>
              </w:rPr>
              <w:t>A.</w:t>
            </w:r>
          </w:p>
          <w:p>
            <w:pPr>
              <w:pStyle w:val="TableParagraph"/>
              <w:spacing w:before="69"/>
              <w:ind w:left="10" w:right="6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2"/>
                <w:sz w:val="24"/>
              </w:rPr>
              <w:t> Engineer</w:t>
            </w:r>
          </w:p>
        </w:tc>
        <w:tc>
          <w:tcPr>
            <w:tcW w:w="435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564" w:hRule="atLeast"/>
        </w:trPr>
        <w:tc>
          <w:tcPr>
            <w:tcW w:w="4357" w:type="dxa"/>
          </w:tcPr>
          <w:p>
            <w:pPr>
              <w:pStyle w:val="TableParagraph"/>
              <w:spacing w:before="7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12" w:lineRule="auto"/>
              <w:ind w:right="104"/>
              <w:jc w:val="both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09152">
                      <wp:simplePos x="0" y="0"/>
                      <wp:positionH relativeFrom="column">
                        <wp:posOffset>101923</wp:posOffset>
                      </wp:positionH>
                      <wp:positionV relativeFrom="paragraph">
                        <wp:posOffset>758214</wp:posOffset>
                      </wp:positionV>
                      <wp:extent cx="5293995" cy="511683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5293995" cy="5116830"/>
                                <a:chExt cx="5293995" cy="5116830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93620" cy="5116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025500pt;margin-top:59.7019pt;width:416.85pt;height:402.9pt;mso-position-horizontal-relative:column;mso-position-vertical-relative:paragraph;z-index:-15907328" id="docshapegroup2" coordorigin="161,1194" coordsize="8337,8058">
                      <v:shape style="position:absolute;left:160;top:1194;width:8337;height:8058" type="#_x0000_t75" id="docshape3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I have been a consultant for the development of highly technical IT projects in more than forty (40) national</w:t>
            </w:r>
            <w:r>
              <w:rPr>
                <w:sz w:val="18"/>
              </w:rPr>
              <w:t> and</w:t>
            </w:r>
            <w:r>
              <w:rPr>
                <w:sz w:val="18"/>
              </w:rPr>
              <w:t> foreign</w:t>
            </w:r>
            <w:r>
              <w:rPr>
                <w:sz w:val="18"/>
              </w:rPr>
              <w:t> corporations</w:t>
            </w:r>
            <w:r>
              <w:rPr>
                <w:sz w:val="18"/>
              </w:rPr>
              <w:t> and</w:t>
            </w:r>
            <w:r>
              <w:rPr>
                <w:sz w:val="18"/>
              </w:rPr>
              <w:t> companies, some as prestigious as The Registro Nacional of Costa Rica (San José, Costa Rica), Banco Invercrédito (Bogotá, Colombia), and in Venezuela: PDVSA,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CARGILL,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well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thirteen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(13)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banks.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 the past twenty years, 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also been developed a successful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career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project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engineer,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especially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 designing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installing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electronic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systems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public safety and microwave telecommunications</w:t>
            </w:r>
          </w:p>
        </w:tc>
        <w:tc>
          <w:tcPr>
            <w:tcW w:w="4356" w:type="dxa"/>
          </w:tcPr>
          <w:p>
            <w:pPr>
              <w:pStyle w:val="TableParagraph"/>
              <w:spacing w:before="75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12" w:lineRule="auto"/>
              <w:ind w:left="107" w:right="47"/>
              <w:jc w:val="both"/>
              <w:rPr>
                <w:sz w:val="18"/>
              </w:rPr>
            </w:pPr>
            <w:r>
              <w:rPr>
                <w:sz w:val="18"/>
              </w:rPr>
              <w:t>...My other passion has always been software programming, and as a freelancer, I develop professional websites, smartphones, and server applications. This passion forces me to stay constantly updated on new technologies and trends within the software development ecosystem.</w:t>
            </w:r>
          </w:p>
        </w:tc>
      </w:tr>
      <w:tr>
        <w:trPr>
          <w:trHeight w:val="765" w:hRule="atLeast"/>
        </w:trPr>
        <w:tc>
          <w:tcPr>
            <w:tcW w:w="4357" w:type="dxa"/>
          </w:tcPr>
          <w:p>
            <w:pPr>
              <w:pStyle w:val="TableParagraph"/>
              <w:spacing w:before="12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Contact</w:t>
            </w:r>
          </w:p>
        </w:tc>
        <w:tc>
          <w:tcPr>
            <w:tcW w:w="4356" w:type="dxa"/>
          </w:tcPr>
          <w:p>
            <w:pPr>
              <w:pStyle w:val="TableParagraph"/>
              <w:spacing w:before="125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Education</w:t>
            </w:r>
          </w:p>
        </w:tc>
      </w:tr>
      <w:tr>
        <w:trPr>
          <w:trHeight w:val="470" w:hRule="atLeast"/>
        </w:trPr>
        <w:tc>
          <w:tcPr>
            <w:tcW w:w="4357" w:type="dxa"/>
          </w:tcPr>
          <w:p>
            <w:pPr>
              <w:pStyle w:val="TableParagraph"/>
              <w:spacing w:before="126"/>
              <w:ind w:left="309"/>
              <w:rPr>
                <w:sz w:val="20"/>
              </w:rPr>
            </w:pPr>
            <w:r>
              <w:rPr>
                <w:sz w:val="20"/>
              </w:rPr>
              <w:t>+58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414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324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63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96</w:t>
            </w:r>
          </w:p>
        </w:tc>
        <w:tc>
          <w:tcPr>
            <w:tcW w:w="4356" w:type="dxa"/>
          </w:tcPr>
          <w:p>
            <w:pPr>
              <w:pStyle w:val="TableParagraph"/>
              <w:spacing w:before="138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1976-</w:t>
            </w:r>
            <w:r>
              <w:rPr>
                <w:spacing w:val="-4"/>
                <w:sz w:val="20"/>
              </w:rPr>
              <w:t>1981</w:t>
            </w:r>
          </w:p>
        </w:tc>
      </w:tr>
      <w:tr>
        <w:trPr>
          <w:trHeight w:val="584" w:hRule="atLeast"/>
        </w:trPr>
        <w:tc>
          <w:tcPr>
            <w:tcW w:w="4357" w:type="dxa"/>
          </w:tcPr>
          <w:p>
            <w:pPr>
              <w:pStyle w:val="TableParagraph"/>
              <w:spacing w:before="116"/>
              <w:ind w:left="309"/>
              <w:rPr>
                <w:sz w:val="20"/>
              </w:rPr>
            </w:pPr>
            <w:hyperlink r:id="rId8">
              <w:r>
                <w:rPr>
                  <w:color w:val="0462C1"/>
                  <w:spacing w:val="-2"/>
                  <w:sz w:val="20"/>
                  <w:u w:val="single" w:color="0462C1"/>
                </w:rPr>
                <w:t>ccolmenaresa@gmail.com</w:t>
              </w:r>
            </w:hyperlink>
          </w:p>
        </w:tc>
        <w:tc>
          <w:tcPr>
            <w:tcW w:w="4356" w:type="dxa"/>
          </w:tcPr>
          <w:p>
            <w:pPr>
              <w:pStyle w:val="TableParagraph"/>
              <w:spacing w:line="280" w:lineRule="atLeast" w:before="4"/>
              <w:ind w:left="107" w:right="157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Ingeniero Electrónico</w:t>
            </w:r>
            <w:r>
              <w:rPr>
                <w:rFonts w:ascii="Arial" w:hAnsi="Arial"/>
                <w:b/>
                <w:spacing w:val="40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(Mención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Telecomunicaciones)</w:t>
            </w:r>
          </w:p>
        </w:tc>
      </w:tr>
      <w:tr>
        <w:trPr>
          <w:trHeight w:val="800" w:hRule="atLeast"/>
        </w:trPr>
        <w:tc>
          <w:tcPr>
            <w:tcW w:w="4357" w:type="dxa"/>
          </w:tcPr>
          <w:p>
            <w:pPr>
              <w:pStyle w:val="TableParagraph"/>
              <w:spacing w:line="223" w:lineRule="exact"/>
              <w:ind w:left="309"/>
              <w:rPr>
                <w:sz w:val="20"/>
              </w:rPr>
            </w:pPr>
            <w:hyperlink r:id="rId9">
              <w:r>
                <w:rPr>
                  <w:color w:val="0462C1"/>
                  <w:spacing w:val="-2"/>
                  <w:sz w:val="20"/>
                  <w:u w:val="single" w:color="0462C1"/>
                </w:rPr>
                <w:t>https://carlos-colmenares-a.netlify.app</w:t>
              </w:r>
            </w:hyperlink>
          </w:p>
          <w:p>
            <w:pPr>
              <w:pStyle w:val="TableParagraph"/>
              <w:spacing w:before="229"/>
              <w:ind w:left="309"/>
              <w:rPr>
                <w:sz w:val="20"/>
              </w:rPr>
            </w:pPr>
            <w:hyperlink r:id="rId10">
              <w:r>
                <w:rPr>
                  <w:color w:val="0462C1"/>
                  <w:spacing w:val="-2"/>
                  <w:sz w:val="20"/>
                  <w:u w:val="single" w:color="0462C1"/>
                </w:rPr>
                <w:t> https://www.linkedin.com/cycscarlos</w:t>
              </w:r>
            </w:hyperlink>
          </w:p>
        </w:tc>
        <w:tc>
          <w:tcPr>
            <w:tcW w:w="4356" w:type="dxa"/>
          </w:tcPr>
          <w:p>
            <w:pPr>
              <w:pStyle w:val="TableParagraph"/>
              <w:spacing w:before="191"/>
              <w:ind w:left="107"/>
              <w:rPr>
                <w:sz w:val="18"/>
              </w:rPr>
            </w:pPr>
            <w:r>
              <w:rPr>
                <w:sz w:val="18"/>
              </w:rPr>
              <w:t>Universidad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Nacional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Experimental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Politécnico</w:t>
            </w:r>
          </w:p>
          <w:p>
            <w:pPr>
              <w:pStyle w:val="TableParagraph"/>
              <w:spacing w:before="50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Antonio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José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3"/>
                <w:sz w:val="18"/>
              </w:rPr>
              <w:t> </w:t>
            </w:r>
            <w:r>
              <w:rPr>
                <w:rFonts w:ascii="Arial" w:hAnsi="Arial"/>
                <w:b/>
                <w:spacing w:val="-2"/>
                <w:sz w:val="18"/>
              </w:rPr>
              <w:t>Sucre</w:t>
            </w:r>
          </w:p>
        </w:tc>
      </w:tr>
      <w:tr>
        <w:trPr>
          <w:trHeight w:val="460" w:hRule="atLeast"/>
        </w:trPr>
        <w:tc>
          <w:tcPr>
            <w:tcW w:w="4357" w:type="dxa"/>
          </w:tcPr>
          <w:p>
            <w:pPr>
              <w:pStyle w:val="TableParagraph"/>
              <w:spacing w:before="112"/>
              <w:ind w:left="309"/>
              <w:rPr>
                <w:sz w:val="20"/>
              </w:rPr>
            </w:pPr>
            <w:hyperlink r:id="rId11">
              <w:r>
                <w:rPr>
                  <w:color w:val="0000ED"/>
                  <w:spacing w:val="-2"/>
                  <w:sz w:val="20"/>
                  <w:u w:val="single" w:color="0000ED"/>
                </w:rPr>
                <w:t>https://github.com/cycscarlos</w:t>
              </w:r>
            </w:hyperlink>
          </w:p>
        </w:tc>
        <w:tc>
          <w:tcPr>
            <w:tcW w:w="435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83" w:hRule="atLeast"/>
        </w:trPr>
        <w:tc>
          <w:tcPr>
            <w:tcW w:w="4357" w:type="dxa"/>
          </w:tcPr>
          <w:p>
            <w:pPr>
              <w:pStyle w:val="TableParagraph"/>
              <w:spacing w:before="112"/>
              <w:ind w:left="309"/>
              <w:rPr>
                <w:sz w:val="20"/>
              </w:rPr>
            </w:pPr>
            <w:r>
              <w:rPr>
                <w:sz w:val="20"/>
              </w:rPr>
              <w:t>Caracas,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Estado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Miranda,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Venezuela</w:t>
            </w:r>
          </w:p>
        </w:tc>
        <w:tc>
          <w:tcPr>
            <w:tcW w:w="435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18" w:hRule="atLeast"/>
        </w:trPr>
        <w:tc>
          <w:tcPr>
            <w:tcW w:w="4357" w:type="dxa"/>
          </w:tcPr>
          <w:p>
            <w:pPr>
              <w:pStyle w:val="TableParagraph"/>
              <w:spacing w:before="82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Skills</w:t>
            </w:r>
          </w:p>
        </w:tc>
        <w:tc>
          <w:tcPr>
            <w:tcW w:w="4356" w:type="dxa"/>
          </w:tcPr>
          <w:p>
            <w:pPr>
              <w:pStyle w:val="TableParagraph"/>
              <w:spacing w:before="82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Licenses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&amp;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pacing w:val="-2"/>
                <w:sz w:val="22"/>
              </w:rPr>
              <w:t>certifications</w:t>
            </w:r>
          </w:p>
        </w:tc>
      </w:tr>
      <w:tr>
        <w:trPr>
          <w:trHeight w:val="500" w:hRule="atLeast"/>
        </w:trPr>
        <w:tc>
          <w:tcPr>
            <w:tcW w:w="4357" w:type="dxa"/>
          </w:tcPr>
          <w:p>
            <w:pPr>
              <w:pStyle w:val="TableParagraph"/>
              <w:spacing w:before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Web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Development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Skills</w:t>
            </w:r>
          </w:p>
        </w:tc>
        <w:tc>
          <w:tcPr>
            <w:tcW w:w="4356" w:type="dxa"/>
          </w:tcPr>
          <w:p>
            <w:pPr>
              <w:pStyle w:val="TableParagraph"/>
              <w:spacing w:before="14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1979-</w:t>
            </w:r>
            <w:r>
              <w:rPr>
                <w:spacing w:val="-4"/>
                <w:sz w:val="20"/>
              </w:rPr>
              <w:t>2023</w:t>
            </w:r>
          </w:p>
        </w:tc>
      </w:tr>
      <w:tr>
        <w:trPr>
          <w:trHeight w:val="3155" w:hRule="atLeast"/>
        </w:trPr>
        <w:tc>
          <w:tcPr>
            <w:tcW w:w="4357" w:type="dxa"/>
          </w:tcPr>
          <w:p>
            <w:pPr>
              <w:pStyle w:val="TableParagraph"/>
              <w:spacing w:line="468" w:lineRule="auto" w:before="116"/>
              <w:ind w:right="3813"/>
              <w:rPr>
                <w:sz w:val="18"/>
              </w:rPr>
            </w:pPr>
            <w:r>
              <w:rPr>
                <w:spacing w:val="-4"/>
                <w:sz w:val="18"/>
              </w:rPr>
              <w:t>HTML CSS</w:t>
            </w:r>
          </w:p>
          <w:p>
            <w:pPr>
              <w:pStyle w:val="TableParagraph"/>
              <w:spacing w:line="468" w:lineRule="auto"/>
              <w:ind w:right="3458"/>
              <w:rPr>
                <w:sz w:val="18"/>
              </w:rPr>
            </w:pPr>
            <w:r>
              <w:rPr>
                <w:spacing w:val="-2"/>
                <w:sz w:val="18"/>
              </w:rPr>
              <w:t>JavaScript Python NodeJS </w:t>
            </w:r>
            <w:r>
              <w:rPr>
                <w:sz w:val="18"/>
              </w:rPr>
              <w:t>My SQL</w:t>
            </w:r>
          </w:p>
          <w:p>
            <w:pPr>
              <w:pStyle w:val="TableParagraph"/>
              <w:spacing w:before="7"/>
              <w:rPr>
                <w:sz w:val="18"/>
              </w:rPr>
            </w:pPr>
            <w:r>
              <w:rPr>
                <w:spacing w:val="-2"/>
                <w:sz w:val="18"/>
              </w:rPr>
              <w:t>MongoDB</w:t>
            </w:r>
          </w:p>
          <w:p>
            <w:pPr>
              <w:pStyle w:val="TableParagraph"/>
              <w:spacing w:line="187" w:lineRule="exact" w:before="196"/>
              <w:rPr>
                <w:sz w:val="18"/>
              </w:rPr>
            </w:pPr>
            <w:r>
              <w:rPr>
                <w:spacing w:val="-2"/>
                <w:sz w:val="18"/>
              </w:rPr>
              <w:t>Figma</w:t>
            </w:r>
          </w:p>
        </w:tc>
        <w:tc>
          <w:tcPr>
            <w:tcW w:w="4356" w:type="dxa"/>
          </w:tcPr>
          <w:p>
            <w:pPr>
              <w:pStyle w:val="TableParagraph"/>
              <w:spacing w:before="156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480" w:lineRule="auto"/>
              <w:ind w:left="107" w:right="999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s/370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Conceptos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Facilidades BND - Organización y Metodos</w:t>
            </w:r>
          </w:p>
          <w:p>
            <w:pPr>
              <w:pStyle w:val="TableParagraph"/>
              <w:spacing w:line="477" w:lineRule="auto" w:before="1"/>
              <w:ind w:left="107" w:right="999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OS/VS1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Conceptos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Facilidades IBM - DOS/VSE Control de Sistema</w:t>
            </w:r>
          </w:p>
          <w:p>
            <w:pPr>
              <w:pStyle w:val="TableParagraph"/>
              <w:spacing w:line="477" w:lineRule="auto" w:before="4"/>
              <w:ind w:left="107" w:right="698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DOS/VSE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Conceptos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Facilidades IBM - Codificación VSAM (COBOL)</w:t>
            </w:r>
          </w:p>
          <w:p>
            <w:pPr>
              <w:pStyle w:val="TableParagraph"/>
              <w:spacing w:before="4"/>
              <w:ind w:left="107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Utilización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VM/CMS</w:t>
            </w:r>
          </w:p>
        </w:tc>
      </w:tr>
    </w:tbl>
    <w:p>
      <w:pPr>
        <w:spacing w:after="0"/>
        <w:rPr>
          <w:sz w:val="18"/>
        </w:rPr>
        <w:sectPr>
          <w:footerReference w:type="default" r:id="rId5"/>
          <w:type w:val="continuous"/>
          <w:pgSz w:w="12240" w:h="15840"/>
          <w:pgMar w:header="0" w:footer="953" w:top="960" w:bottom="1577" w:left="1660" w:right="1660"/>
          <w:pgNumType w:start="1"/>
        </w:sect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7"/>
        <w:gridCol w:w="4260"/>
      </w:tblGrid>
      <w:tr>
        <w:trPr>
          <w:trHeight w:val="302" w:hRule="atLeast"/>
        </w:trPr>
        <w:tc>
          <w:tcPr>
            <w:tcW w:w="4307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4"/>
                <w:sz w:val="18"/>
              </w:rPr>
              <w:t>APIs</w:t>
            </w:r>
          </w:p>
        </w:tc>
        <w:tc>
          <w:tcPr>
            <w:tcW w:w="4260" w:type="dxa"/>
          </w:tcPr>
          <w:p>
            <w:pPr>
              <w:pStyle w:val="TableParagraph"/>
              <w:spacing w:line="201" w:lineRule="exact"/>
              <w:ind w:left="157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VM/SP</w:t>
            </w:r>
            <w:r>
              <w:rPr>
                <w:spacing w:val="-2"/>
                <w:sz w:val="18"/>
              </w:rPr>
              <w:t> Instalación</w:t>
            </w:r>
          </w:p>
        </w:tc>
      </w:tr>
      <w:tr>
        <w:trPr>
          <w:trHeight w:val="420" w:hRule="atLeast"/>
        </w:trPr>
        <w:tc>
          <w:tcPr>
            <w:tcW w:w="4307" w:type="dxa"/>
          </w:tcPr>
          <w:p>
            <w:pPr>
              <w:pStyle w:val="TableParagraph"/>
              <w:spacing w:before="95"/>
              <w:rPr>
                <w:sz w:val="18"/>
              </w:rPr>
            </w:pPr>
            <w:r>
              <w:rPr>
                <w:sz w:val="18"/>
              </w:rPr>
              <w:t>Artificial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Intelligence</w:t>
            </w:r>
          </w:p>
        </w:tc>
        <w:tc>
          <w:tcPr>
            <w:tcW w:w="4260" w:type="dxa"/>
          </w:tcPr>
          <w:p>
            <w:pPr>
              <w:pStyle w:val="TableParagraph"/>
              <w:spacing w:before="107"/>
              <w:ind w:left="157"/>
              <w:rPr>
                <w:sz w:val="18"/>
              </w:rPr>
            </w:pPr>
            <w:r>
              <w:rPr>
                <w:sz w:val="18"/>
              </w:rPr>
              <w:t>Banco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Maracaibo 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C.P.M.</w:t>
            </w:r>
          </w:p>
        </w:tc>
      </w:tr>
      <w:tr>
        <w:trPr>
          <w:trHeight w:val="329" w:hRule="atLeast"/>
        </w:trPr>
        <w:tc>
          <w:tcPr>
            <w:tcW w:w="430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60" w:type="dxa"/>
          </w:tcPr>
          <w:p>
            <w:pPr>
              <w:pStyle w:val="TableParagraph"/>
              <w:spacing w:before="100"/>
              <w:ind w:left="157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CICS/VS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Codificación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Nivel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Comando</w:t>
            </w:r>
          </w:p>
        </w:tc>
      </w:tr>
      <w:tr>
        <w:trPr>
          <w:trHeight w:val="453" w:hRule="atLeast"/>
        </w:trPr>
        <w:tc>
          <w:tcPr>
            <w:tcW w:w="4307" w:type="dxa"/>
          </w:tcPr>
          <w:p>
            <w:pPr>
              <w:pStyle w:val="TableParagraph"/>
              <w:spacing w:before="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Mainframe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skills</w:t>
            </w:r>
          </w:p>
        </w:tc>
        <w:tc>
          <w:tcPr>
            <w:tcW w:w="4260" w:type="dxa"/>
          </w:tcPr>
          <w:p>
            <w:pPr>
              <w:pStyle w:val="TableParagraph"/>
              <w:spacing w:before="185"/>
              <w:ind w:left="157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PL/1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Análisis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Aplicaciones</w:t>
            </w:r>
          </w:p>
        </w:tc>
      </w:tr>
      <w:tr>
        <w:trPr>
          <w:trHeight w:val="407" w:hRule="atLeast"/>
        </w:trPr>
        <w:tc>
          <w:tcPr>
            <w:tcW w:w="4307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spacing w:val="-2"/>
                <w:sz w:val="18"/>
              </w:rPr>
              <w:t>Assembler</w:t>
            </w:r>
          </w:p>
        </w:tc>
        <w:tc>
          <w:tcPr>
            <w:tcW w:w="4260" w:type="dxa"/>
          </w:tcPr>
          <w:p>
            <w:pPr>
              <w:pStyle w:val="TableParagraph"/>
              <w:spacing w:before="144"/>
              <w:ind w:left="157"/>
              <w:rPr>
                <w:sz w:val="18"/>
              </w:rPr>
            </w:pPr>
            <w:r>
              <w:rPr>
                <w:sz w:val="18"/>
              </w:rPr>
              <w:t>Abaco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LIBRARIAN</w:t>
            </w:r>
          </w:p>
        </w:tc>
      </w:tr>
      <w:tr>
        <w:trPr>
          <w:trHeight w:val="409" w:hRule="atLeast"/>
        </w:trPr>
        <w:tc>
          <w:tcPr>
            <w:tcW w:w="4307" w:type="dxa"/>
          </w:tcPr>
          <w:p>
            <w:pPr>
              <w:pStyle w:val="TableParagraph"/>
              <w:spacing w:before="50"/>
              <w:rPr>
                <w:sz w:val="18"/>
              </w:rPr>
            </w:pPr>
            <w:r>
              <w:rPr>
                <w:sz w:val="18"/>
              </w:rPr>
              <w:t>Cobol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ANSI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74</w:t>
            </w:r>
          </w:p>
        </w:tc>
        <w:tc>
          <w:tcPr>
            <w:tcW w:w="4260" w:type="dxa"/>
          </w:tcPr>
          <w:p>
            <w:pPr>
              <w:pStyle w:val="TableParagraph"/>
              <w:spacing w:before="151"/>
              <w:ind w:left="157"/>
              <w:rPr>
                <w:sz w:val="18"/>
              </w:rPr>
            </w:pPr>
            <w:r>
              <w:rPr>
                <w:sz w:val="18"/>
              </w:rPr>
              <w:t>Abaco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ADR/DATADICTIONARY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Utilización</w:t>
            </w:r>
          </w:p>
        </w:tc>
      </w:tr>
      <w:tr>
        <w:trPr>
          <w:trHeight w:val="408" w:hRule="atLeast"/>
        </w:trPr>
        <w:tc>
          <w:tcPr>
            <w:tcW w:w="4307" w:type="dxa"/>
          </w:tcPr>
          <w:p>
            <w:pPr>
              <w:pStyle w:val="TableParagraph"/>
              <w:spacing w:before="44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10176">
                      <wp:simplePos x="0" y="0"/>
                      <wp:positionH relativeFrom="column">
                        <wp:posOffset>101923</wp:posOffset>
                      </wp:positionH>
                      <wp:positionV relativeFrom="paragraph">
                        <wp:posOffset>91209</wp:posOffset>
                      </wp:positionV>
                      <wp:extent cx="5293995" cy="511683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5293995" cy="5116830"/>
                                <a:chExt cx="5293995" cy="5116830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93620" cy="5116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025500pt;margin-top:7.18187pt;width:416.85pt;height:402.9pt;mso-position-horizontal-relative:column;mso-position-vertical-relative:paragraph;z-index:-15906304" id="docshapegroup4" coordorigin="161,144" coordsize="8337,8058">
                      <v:shape style="position:absolute;left:160;top:143;width:8337;height:8058" type="#_x0000_t75" id="docshape5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VSE, VM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 </w:t>
            </w:r>
            <w:r>
              <w:rPr>
                <w:spacing w:val="-5"/>
                <w:sz w:val="18"/>
              </w:rPr>
              <w:t>zOS</w:t>
            </w:r>
          </w:p>
        </w:tc>
        <w:tc>
          <w:tcPr>
            <w:tcW w:w="4260" w:type="dxa"/>
          </w:tcPr>
          <w:p>
            <w:pPr>
              <w:pStyle w:val="TableParagraph"/>
              <w:spacing w:before="155"/>
              <w:ind w:left="15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technical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English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Workshop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English</w:t>
            </w:r>
          </w:p>
        </w:tc>
      </w:tr>
      <w:tr>
        <w:trPr>
          <w:trHeight w:val="409" w:hRule="atLeast"/>
        </w:trPr>
        <w:tc>
          <w:tcPr>
            <w:tcW w:w="4307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pacing w:val="-2"/>
                <w:sz w:val="18"/>
              </w:rPr>
              <w:t>CICS/ESA</w:t>
            </w:r>
          </w:p>
        </w:tc>
        <w:tc>
          <w:tcPr>
            <w:tcW w:w="4260" w:type="dxa"/>
          </w:tcPr>
          <w:p>
            <w:pPr>
              <w:pStyle w:val="TableParagraph"/>
              <w:spacing w:before="162"/>
              <w:ind w:left="157"/>
              <w:rPr>
                <w:sz w:val="18"/>
              </w:rPr>
            </w:pPr>
            <w:r>
              <w:rPr>
                <w:sz w:val="18"/>
              </w:rPr>
              <w:t>ADR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(USA)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SQL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DB2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DB2</w:t>
            </w:r>
          </w:p>
        </w:tc>
      </w:tr>
      <w:tr>
        <w:trPr>
          <w:trHeight w:val="480" w:hRule="atLeast"/>
        </w:trPr>
        <w:tc>
          <w:tcPr>
            <w:tcW w:w="4307" w:type="dxa"/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ACF/VTAM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 </w:t>
            </w:r>
            <w:r>
              <w:rPr>
                <w:spacing w:val="-5"/>
                <w:sz w:val="18"/>
              </w:rPr>
              <w:t>NCP</w:t>
            </w:r>
          </w:p>
        </w:tc>
        <w:tc>
          <w:tcPr>
            <w:tcW w:w="4260" w:type="dxa"/>
          </w:tcPr>
          <w:p>
            <w:pPr>
              <w:pStyle w:val="TableParagraph"/>
              <w:spacing w:before="166"/>
              <w:ind w:left="157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SNA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Flow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Performance</w:t>
            </w:r>
          </w:p>
        </w:tc>
      </w:tr>
      <w:tr>
        <w:trPr>
          <w:trHeight w:val="414" w:hRule="atLeast"/>
        </w:trPr>
        <w:tc>
          <w:tcPr>
            <w:tcW w:w="430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60" w:type="dxa"/>
          </w:tcPr>
          <w:p>
            <w:pPr>
              <w:pStyle w:val="TableParagraph"/>
              <w:spacing w:before="101"/>
              <w:ind w:left="157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Capacity</w:t>
            </w:r>
            <w:r>
              <w:rPr>
                <w:spacing w:val="-2"/>
                <w:sz w:val="18"/>
              </w:rPr>
              <w:t> Planning</w:t>
            </w:r>
          </w:p>
        </w:tc>
      </w:tr>
      <w:tr>
        <w:trPr>
          <w:trHeight w:val="413" w:hRule="atLeast"/>
        </w:trPr>
        <w:tc>
          <w:tcPr>
            <w:tcW w:w="430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60" w:type="dxa"/>
          </w:tcPr>
          <w:p>
            <w:pPr>
              <w:pStyle w:val="TableParagraph"/>
              <w:spacing w:before="100"/>
              <w:ind w:left="157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MVS/JCL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Utilities</w:t>
            </w:r>
          </w:p>
        </w:tc>
      </w:tr>
      <w:tr>
        <w:trPr>
          <w:trHeight w:val="413" w:hRule="atLeast"/>
        </w:trPr>
        <w:tc>
          <w:tcPr>
            <w:tcW w:w="430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60" w:type="dxa"/>
          </w:tcPr>
          <w:p>
            <w:pPr>
              <w:pStyle w:val="TableParagraph"/>
              <w:spacing w:before="101"/>
              <w:ind w:left="157"/>
              <w:rPr>
                <w:sz w:val="18"/>
              </w:rPr>
            </w:pPr>
            <w:r>
              <w:rPr>
                <w:sz w:val="18"/>
              </w:rPr>
              <w:t>Computer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Associates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(USA)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CICS/VSE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Internals</w:t>
            </w:r>
          </w:p>
        </w:tc>
      </w:tr>
      <w:tr>
        <w:trPr>
          <w:trHeight w:val="620" w:hRule="atLeast"/>
        </w:trPr>
        <w:tc>
          <w:tcPr>
            <w:tcW w:w="430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60" w:type="dxa"/>
          </w:tcPr>
          <w:p>
            <w:pPr>
              <w:pStyle w:val="TableParagraph"/>
              <w:spacing w:before="100"/>
              <w:ind w:left="157"/>
              <w:rPr>
                <w:sz w:val="18"/>
              </w:rPr>
            </w:pPr>
            <w:r>
              <w:rPr>
                <w:sz w:val="18"/>
              </w:rPr>
              <w:t>Computer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Associates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(USA)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CA-DISPATCH </w:t>
            </w:r>
            <w:r>
              <w:rPr>
                <w:spacing w:val="-2"/>
                <w:sz w:val="18"/>
              </w:rPr>
              <w:t>Internals</w:t>
            </w:r>
          </w:p>
        </w:tc>
      </w:tr>
      <w:tr>
        <w:trPr>
          <w:trHeight w:val="413" w:hRule="atLeast"/>
        </w:trPr>
        <w:tc>
          <w:tcPr>
            <w:tcW w:w="430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60" w:type="dxa"/>
          </w:tcPr>
          <w:p>
            <w:pPr>
              <w:pStyle w:val="TableParagraph"/>
              <w:spacing w:before="101"/>
              <w:ind w:left="157"/>
              <w:rPr>
                <w:sz w:val="18"/>
              </w:rPr>
            </w:pPr>
            <w:r>
              <w:rPr>
                <w:sz w:val="18"/>
              </w:rPr>
              <w:t>Computer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Associates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(USA)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ACF/VTAM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internals</w:t>
            </w:r>
          </w:p>
        </w:tc>
      </w:tr>
      <w:tr>
        <w:trPr>
          <w:trHeight w:val="621" w:hRule="atLeast"/>
        </w:trPr>
        <w:tc>
          <w:tcPr>
            <w:tcW w:w="430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60" w:type="dxa"/>
          </w:tcPr>
          <w:p>
            <w:pPr>
              <w:pStyle w:val="TableParagraph"/>
              <w:spacing w:before="100"/>
              <w:ind w:left="157"/>
              <w:rPr>
                <w:sz w:val="18"/>
              </w:rPr>
            </w:pPr>
            <w:r>
              <w:rPr>
                <w:sz w:val="18"/>
              </w:rPr>
              <w:t>Computer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Associates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(USA)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ACF/VTAM </w:t>
            </w:r>
            <w:r>
              <w:rPr>
                <w:spacing w:val="-2"/>
                <w:sz w:val="18"/>
              </w:rPr>
              <w:t>Performance</w:t>
            </w:r>
          </w:p>
        </w:tc>
      </w:tr>
      <w:tr>
        <w:trPr>
          <w:trHeight w:val="656" w:hRule="atLeast"/>
        </w:trPr>
        <w:tc>
          <w:tcPr>
            <w:tcW w:w="4307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60" w:type="dxa"/>
          </w:tcPr>
          <w:p>
            <w:pPr>
              <w:pStyle w:val="TableParagraph"/>
              <w:spacing w:before="100"/>
              <w:ind w:left="157"/>
              <w:rPr>
                <w:sz w:val="18"/>
              </w:rPr>
            </w:pPr>
            <w:r>
              <w:rPr>
                <w:sz w:val="18"/>
              </w:rPr>
              <w:t>IBM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Moving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VSE/ESA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Client/Server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Solutions</w:t>
            </w:r>
          </w:p>
        </w:tc>
      </w:tr>
      <w:tr>
        <w:trPr>
          <w:trHeight w:val="703" w:hRule="atLeast"/>
        </w:trPr>
        <w:tc>
          <w:tcPr>
            <w:tcW w:w="4307" w:type="dxa"/>
          </w:tcPr>
          <w:p>
            <w:pPr>
              <w:pStyle w:val="TableParagraph"/>
              <w:spacing w:before="89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Conferences</w:t>
            </w:r>
          </w:p>
        </w:tc>
        <w:tc>
          <w:tcPr>
            <w:tcW w:w="4260" w:type="dxa"/>
          </w:tcPr>
          <w:p>
            <w:pPr>
              <w:pStyle w:val="TableParagraph"/>
              <w:spacing w:before="89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Work</w:t>
            </w:r>
            <w:r>
              <w:rPr>
                <w:rFonts w:ascii="Arial"/>
                <w:b/>
                <w:spacing w:val="-2"/>
                <w:sz w:val="22"/>
              </w:rPr>
              <w:t> Experience</w:t>
            </w:r>
          </w:p>
        </w:tc>
      </w:tr>
      <w:tr>
        <w:trPr>
          <w:trHeight w:val="464" w:hRule="atLeast"/>
        </w:trPr>
        <w:tc>
          <w:tcPr>
            <w:tcW w:w="4307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1986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4"/>
                <w:sz w:val="20"/>
              </w:rPr>
              <w:t> 1988</w:t>
            </w:r>
          </w:p>
        </w:tc>
        <w:tc>
          <w:tcPr>
            <w:tcW w:w="4260" w:type="dxa"/>
          </w:tcPr>
          <w:p>
            <w:pPr>
              <w:pStyle w:val="TableParagraph"/>
              <w:spacing w:before="152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1977-</w:t>
            </w:r>
            <w:r>
              <w:rPr>
                <w:rFonts w:ascii="Arial"/>
                <w:b/>
                <w:spacing w:val="-4"/>
                <w:sz w:val="20"/>
              </w:rPr>
              <w:t>1981</w:t>
            </w:r>
          </w:p>
        </w:tc>
      </w:tr>
      <w:tr>
        <w:trPr>
          <w:trHeight w:val="733" w:hRule="atLeast"/>
        </w:trPr>
        <w:tc>
          <w:tcPr>
            <w:tcW w:w="4307" w:type="dxa"/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sz w:val="18"/>
              </w:rPr>
              <w:t>IDEAS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(Intercambio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Ideas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Anuales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Software)</w:t>
            </w:r>
          </w:p>
          <w:p>
            <w:pPr>
              <w:pStyle w:val="TableParagraph"/>
              <w:spacing w:before="206"/>
              <w:rPr>
                <w:sz w:val="18"/>
              </w:rPr>
            </w:pPr>
            <w:r>
              <w:rPr>
                <w:sz w:val="18"/>
              </w:rPr>
              <w:t>Hotel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Caracas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Hilton,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Venezuela</w:t>
            </w:r>
          </w:p>
        </w:tc>
        <w:tc>
          <w:tcPr>
            <w:tcW w:w="4260" w:type="dxa"/>
          </w:tcPr>
          <w:p>
            <w:pPr>
              <w:pStyle w:val="TableParagraph"/>
              <w:spacing w:line="309" w:lineRule="auto" w:before="119"/>
              <w:ind w:left="157" w:right="12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System Programmer Junior Banco</w:t>
            </w:r>
            <w:r>
              <w:rPr>
                <w:rFonts w:ascii="Arial"/>
                <w:b/>
                <w:spacing w:val="-1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Nacional</w:t>
            </w:r>
            <w:r>
              <w:rPr>
                <w:rFonts w:ascii="Arial"/>
                <w:b/>
                <w:spacing w:val="-1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Descuento</w:t>
            </w:r>
          </w:p>
        </w:tc>
      </w:tr>
      <w:tr>
        <w:trPr>
          <w:trHeight w:val="1683" w:hRule="atLeast"/>
        </w:trPr>
        <w:tc>
          <w:tcPr>
            <w:tcW w:w="4307" w:type="dxa"/>
          </w:tcPr>
          <w:p>
            <w:pPr>
              <w:pStyle w:val="TableParagraph"/>
              <w:spacing w:before="170"/>
              <w:rPr>
                <w:sz w:val="18"/>
              </w:rPr>
            </w:pPr>
            <w:r>
              <w:rPr>
                <w:sz w:val="18"/>
              </w:rPr>
              <w:t>Ponente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| </w:t>
            </w:r>
            <w:r>
              <w:rPr>
                <w:spacing w:val="-2"/>
                <w:sz w:val="18"/>
              </w:rPr>
              <w:t>Temáticas: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7" w:val="left" w:leader="none"/>
              </w:tabs>
              <w:spacing w:line="240" w:lineRule="auto" w:before="206" w:after="0"/>
              <w:ind w:left="407" w:right="0" w:hanging="357"/>
              <w:jc w:val="left"/>
              <w:rPr>
                <w:sz w:val="18"/>
              </w:rPr>
            </w:pPr>
            <w:r>
              <w:rPr>
                <w:sz w:val="18"/>
              </w:rPr>
              <w:t>Performance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Tuning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Aspects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> VSE/ESA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7" w:val="left" w:leader="none"/>
              </w:tabs>
              <w:spacing w:line="240" w:lineRule="auto" w:before="104" w:after="0"/>
              <w:ind w:left="407" w:right="0" w:hanging="357"/>
              <w:jc w:val="left"/>
              <w:rPr>
                <w:sz w:val="18"/>
              </w:rPr>
            </w:pPr>
            <w:r>
              <w:rPr>
                <w:sz w:val="18"/>
              </w:rPr>
              <w:t>Virtual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Machine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(VM/SP)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installation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Topics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7" w:val="left" w:leader="none"/>
              </w:tabs>
              <w:spacing w:line="240" w:lineRule="auto" w:before="101" w:after="0"/>
              <w:ind w:left="407" w:right="0" w:hanging="357"/>
              <w:jc w:val="left"/>
              <w:rPr>
                <w:sz w:val="18"/>
              </w:rPr>
            </w:pPr>
            <w:r>
              <w:rPr>
                <w:sz w:val="18"/>
              </w:rPr>
              <w:t>Capacity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Planning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techniques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MVS/ESA</w:t>
            </w:r>
          </w:p>
        </w:tc>
        <w:tc>
          <w:tcPr>
            <w:tcW w:w="4260" w:type="dxa"/>
          </w:tcPr>
          <w:p>
            <w:pPr>
              <w:pStyle w:val="TableParagraph"/>
              <w:spacing w:line="312" w:lineRule="auto" w:before="31"/>
              <w:ind w:left="157" w:right="501"/>
              <w:rPr>
                <w:sz w:val="18"/>
              </w:rPr>
            </w:pPr>
            <w:r>
              <w:rPr>
                <w:sz w:val="18"/>
              </w:rPr>
              <w:t>"I was part of the team of specialists in the technical support division of the computing vice-presidency at the Bank. Like my colleagues,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were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keeping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 computational infrastructure based on IBM Mainframe technology operational"</w:t>
            </w:r>
          </w:p>
        </w:tc>
      </w:tr>
      <w:tr>
        <w:trPr>
          <w:trHeight w:val="478" w:hRule="atLeast"/>
        </w:trPr>
        <w:tc>
          <w:tcPr>
            <w:tcW w:w="4307" w:type="dxa"/>
          </w:tcPr>
          <w:p>
            <w:pPr>
              <w:pStyle w:val="TableParagraph"/>
              <w:spacing w:before="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1988</w:t>
            </w:r>
          </w:p>
        </w:tc>
        <w:tc>
          <w:tcPr>
            <w:tcW w:w="4260" w:type="dxa"/>
          </w:tcPr>
          <w:p>
            <w:pPr>
              <w:pStyle w:val="TableParagraph"/>
              <w:spacing w:before="187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1982-</w:t>
            </w:r>
            <w:r>
              <w:rPr>
                <w:rFonts w:ascii="Arial"/>
                <w:b/>
                <w:spacing w:val="-4"/>
                <w:sz w:val="20"/>
              </w:rPr>
              <w:t>1984</w:t>
            </w:r>
          </w:p>
        </w:tc>
      </w:tr>
      <w:tr>
        <w:trPr>
          <w:trHeight w:val="734" w:hRule="atLeast"/>
        </w:trPr>
        <w:tc>
          <w:tcPr>
            <w:tcW w:w="4307" w:type="dxa"/>
          </w:tcPr>
          <w:p>
            <w:pPr>
              <w:pStyle w:val="TableParagraph"/>
              <w:spacing w:before="56"/>
              <w:rPr>
                <w:sz w:val="18"/>
              </w:rPr>
            </w:pPr>
            <w:r>
              <w:rPr>
                <w:sz w:val="18"/>
              </w:rPr>
              <w:t>System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Conference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Jersey,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USA</w:t>
            </w:r>
          </w:p>
        </w:tc>
        <w:tc>
          <w:tcPr>
            <w:tcW w:w="4260" w:type="dxa"/>
          </w:tcPr>
          <w:p>
            <w:pPr>
              <w:pStyle w:val="TableParagraph"/>
              <w:spacing w:line="309" w:lineRule="auto" w:before="140"/>
              <w:ind w:left="157" w:right="12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System</w:t>
            </w:r>
            <w:r>
              <w:rPr>
                <w:rFonts w:ascii="Arial"/>
                <w:b/>
                <w:spacing w:val="-1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Programmer</w:t>
            </w:r>
            <w:r>
              <w:rPr>
                <w:rFonts w:ascii="Arial"/>
                <w:b/>
                <w:spacing w:val="-1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Senior Banco Maracaibo</w:t>
            </w:r>
          </w:p>
        </w:tc>
      </w:tr>
      <w:tr>
        <w:trPr>
          <w:trHeight w:val="795" w:hRule="atLeast"/>
        </w:trPr>
        <w:tc>
          <w:tcPr>
            <w:tcW w:w="4307" w:type="dxa"/>
          </w:tcPr>
          <w:p>
            <w:pPr>
              <w:pStyle w:val="TableParagraph"/>
              <w:spacing w:before="149"/>
              <w:rPr>
                <w:sz w:val="18"/>
              </w:rPr>
            </w:pPr>
            <w:r>
              <w:rPr>
                <w:spacing w:val="-2"/>
                <w:sz w:val="18"/>
              </w:rPr>
              <w:t>Oyente</w:t>
            </w:r>
          </w:p>
        </w:tc>
        <w:tc>
          <w:tcPr>
            <w:tcW w:w="4260" w:type="dxa"/>
          </w:tcPr>
          <w:p>
            <w:pPr>
              <w:pStyle w:val="TableParagraph"/>
              <w:spacing w:line="268" w:lineRule="exact"/>
              <w:ind w:left="157" w:right="501"/>
              <w:rPr>
                <w:sz w:val="18"/>
              </w:rPr>
            </w:pPr>
            <w:r>
              <w:rPr>
                <w:sz w:val="18"/>
              </w:rPr>
              <w:t>"I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specialists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 the technical support division of the computing vice-presidency at the Bank.</w:t>
            </w:r>
          </w:p>
        </w:tc>
      </w:tr>
    </w:tbl>
    <w:p>
      <w:pPr>
        <w:spacing w:after="0" w:line="268" w:lineRule="exact"/>
        <w:rPr>
          <w:sz w:val="18"/>
        </w:rPr>
        <w:sectPr>
          <w:type w:val="continuous"/>
          <w:pgSz w:w="12240" w:h="15840"/>
          <w:pgMar w:header="0" w:footer="953" w:top="1400" w:bottom="1140" w:left="1660" w:right="1660"/>
        </w:sect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1"/>
        <w:gridCol w:w="4442"/>
      </w:tblGrid>
      <w:tr>
        <w:trPr>
          <w:trHeight w:val="11480" w:hRule="atLeast"/>
        </w:trPr>
        <w:tc>
          <w:tcPr>
            <w:tcW w:w="4191" w:type="dxa"/>
          </w:tcPr>
          <w:p>
            <w:pPr>
              <w:pStyle w:val="TableParagraph"/>
              <w:spacing w:line="22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1989</w:t>
            </w:r>
          </w:p>
          <w:p>
            <w:pPr>
              <w:pStyle w:val="TableParagraph"/>
              <w:spacing w:before="211"/>
              <w:rPr>
                <w:sz w:val="18"/>
              </w:rPr>
            </w:pPr>
            <w:r>
              <w:rPr>
                <w:spacing w:val="-4"/>
                <w:sz w:val="18"/>
              </w:rPr>
              <w:t>CADRE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477" w:lineRule="auto"/>
              <w:ind w:right="2573"/>
              <w:rPr>
                <w:sz w:val="18"/>
              </w:rPr>
            </w:pPr>
            <w:r>
              <w:rPr>
                <w:sz w:val="18"/>
              </w:rPr>
              <w:t>New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Jersey,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USA </w:t>
            </w:r>
            <w:r>
              <w:rPr>
                <w:spacing w:val="-2"/>
                <w:sz w:val="18"/>
              </w:rPr>
              <w:t>Oyente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2004</w:t>
            </w:r>
          </w:p>
          <w:p>
            <w:pPr>
              <w:pStyle w:val="TableParagraph"/>
              <w:spacing w:line="480" w:lineRule="auto" w:before="211"/>
              <w:ind w:right="2573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10688">
                      <wp:simplePos x="0" y="0"/>
                      <wp:positionH relativeFrom="column">
                        <wp:posOffset>101923</wp:posOffset>
                      </wp:positionH>
                      <wp:positionV relativeFrom="paragraph">
                        <wp:posOffset>360323</wp:posOffset>
                      </wp:positionV>
                      <wp:extent cx="5293995" cy="511683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293995" cy="5116830"/>
                                <a:chExt cx="5293995" cy="5116830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93620" cy="5116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025500pt;margin-top:28.371897pt;width:416.85pt;height:402.9pt;mso-position-horizontal-relative:column;mso-position-vertical-relative:paragraph;z-index:-15905792" id="docshapegroup6" coordorigin="161,567" coordsize="8337,8058">
                      <v:shape style="position:absolute;left:160;top:567;width:8337;height:8058" type="#_x0000_t75" id="docshape7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La Red del Estado UNEFA,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Venezuela </w:t>
            </w:r>
            <w:r>
              <w:rPr>
                <w:spacing w:val="-2"/>
                <w:sz w:val="18"/>
              </w:rPr>
              <w:t>Oyente</w:t>
            </w:r>
          </w:p>
          <w:p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2006</w:t>
            </w:r>
          </w:p>
          <w:p>
            <w:pPr>
              <w:pStyle w:val="TableParagraph"/>
              <w:spacing w:line="480" w:lineRule="auto" w:before="214"/>
              <w:ind w:right="2453"/>
              <w:rPr>
                <w:sz w:val="18"/>
              </w:rPr>
            </w:pPr>
            <w:r>
              <w:rPr>
                <w:sz w:val="18"/>
              </w:rPr>
              <w:t>Gobierno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Electrónico UNEFA, Venezuela </w:t>
            </w:r>
            <w:r>
              <w:rPr>
                <w:spacing w:val="-2"/>
                <w:sz w:val="18"/>
              </w:rPr>
              <w:t>Oyente</w:t>
            </w:r>
          </w:p>
          <w:p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2006</w:t>
            </w:r>
          </w:p>
          <w:p>
            <w:pPr>
              <w:pStyle w:val="TableParagraph"/>
              <w:spacing w:line="480" w:lineRule="auto" w:before="211"/>
              <w:ind w:right="2231"/>
              <w:rPr>
                <w:sz w:val="18"/>
              </w:rPr>
            </w:pPr>
            <w:r>
              <w:rPr>
                <w:sz w:val="18"/>
              </w:rPr>
              <w:t>Tecnología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Gerencia IESA, Venezuela </w:t>
            </w:r>
            <w:r>
              <w:rPr>
                <w:spacing w:val="-2"/>
                <w:sz w:val="18"/>
              </w:rPr>
              <w:t>Oyente</w:t>
            </w:r>
          </w:p>
          <w:p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2011</w:t>
            </w:r>
          </w:p>
          <w:p>
            <w:pPr>
              <w:pStyle w:val="TableParagraph"/>
              <w:spacing w:line="477" w:lineRule="auto" w:before="211"/>
              <w:ind w:right="1496"/>
              <w:rPr>
                <w:sz w:val="18"/>
              </w:rPr>
            </w:pPr>
            <w:r>
              <w:rPr>
                <w:sz w:val="18"/>
              </w:rPr>
              <w:t>Liderazgo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Transformación IESA, Venezuela</w:t>
            </w:r>
          </w:p>
          <w:p>
            <w:pPr>
              <w:pStyle w:val="TableParagraph"/>
              <w:spacing w:before="4"/>
              <w:rPr>
                <w:sz w:val="18"/>
              </w:rPr>
            </w:pPr>
            <w:r>
              <w:rPr>
                <w:spacing w:val="-2"/>
                <w:sz w:val="18"/>
              </w:rPr>
              <w:t>Oyente</w:t>
            </w:r>
          </w:p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03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Hobbies</w:t>
            </w:r>
          </w:p>
          <w:p>
            <w:pPr>
              <w:pStyle w:val="TableParagraph"/>
              <w:spacing w:before="3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362" w:lineRule="auto"/>
              <w:rPr>
                <w:sz w:val="18"/>
              </w:rPr>
            </w:pPr>
            <w:r>
              <w:rPr>
                <w:sz w:val="18"/>
              </w:rPr>
              <w:t>Basketball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Baseball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Boxing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Football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Music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| Beach | Reading | die-hard technologist</w:t>
            </w:r>
          </w:p>
        </w:tc>
        <w:tc>
          <w:tcPr>
            <w:tcW w:w="4442" w:type="dxa"/>
          </w:tcPr>
          <w:p>
            <w:pPr>
              <w:pStyle w:val="TableParagraph"/>
              <w:spacing w:line="312" w:lineRule="auto"/>
              <w:ind w:left="273" w:right="365"/>
              <w:rPr>
                <w:sz w:val="18"/>
              </w:rPr>
            </w:pPr>
            <w:r>
              <w:rPr>
                <w:sz w:val="18"/>
              </w:rPr>
              <w:t>Among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functions,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responsible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 maintaining the operational status of the computational infrastructure based on IBM Mainframe technology.</w:t>
            </w:r>
          </w:p>
          <w:p>
            <w:pPr>
              <w:pStyle w:val="TableParagraph"/>
              <w:spacing w:before="89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12" w:lineRule="auto"/>
              <w:ind w:left="273" w:right="365"/>
              <w:rPr>
                <w:sz w:val="18"/>
              </w:rPr>
            </w:pPr>
            <w:r>
              <w:rPr>
                <w:sz w:val="18"/>
              </w:rPr>
              <w:t>..and finally, coordinate with other IT areas for the implementation of new projects, research, testing,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production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installation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(DevOps)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 new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versions of operating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systems or software packages for both systems and applications"</w:t>
            </w:r>
          </w:p>
          <w:p>
            <w:pPr>
              <w:pStyle w:val="TableParagraph"/>
              <w:spacing w:before="20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1984-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1991</w:t>
            </w:r>
          </w:p>
          <w:p>
            <w:pPr>
              <w:pStyle w:val="TableParagraph"/>
              <w:spacing w:line="309" w:lineRule="auto" w:before="202"/>
              <w:ind w:left="273" w:right="36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System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Software</w:t>
            </w:r>
            <w:r>
              <w:rPr>
                <w:rFonts w:ascii="Arial" w:hAnsi="Arial"/>
                <w:b/>
                <w:spacing w:val="-12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Technical</w:t>
            </w:r>
            <w:r>
              <w:rPr>
                <w:rFonts w:ascii="Arial" w:hAnsi="Arial"/>
                <w:b/>
                <w:spacing w:val="-13"/>
                <w:sz w:val="18"/>
              </w:rPr>
              <w:t> </w:t>
            </w:r>
            <w:r>
              <w:rPr>
                <w:rFonts w:ascii="Arial" w:hAnsi="Arial"/>
                <w:b/>
                <w:sz w:val="18"/>
              </w:rPr>
              <w:t>Director Sistemas de Computación ABACO</w:t>
            </w:r>
          </w:p>
          <w:p>
            <w:pPr>
              <w:pStyle w:val="TableParagraph"/>
              <w:spacing w:line="312" w:lineRule="auto" w:before="109"/>
              <w:ind w:left="273" w:right="108"/>
              <w:rPr>
                <w:sz w:val="18"/>
              </w:rPr>
            </w:pPr>
            <w:r>
              <w:rPr>
                <w:sz w:val="18"/>
              </w:rPr>
              <w:t>"I was in charge of the technical area for system software products of Computer Associates, Inc., a world leader in software development for IBM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MVS, VM, and VSE operating systems. My main objective was to provide consulting and product installation services 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 IBM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Mainframe technology.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quality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provided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 the projects success were endorsed by my hiring by foreign entities (such as Banco Invercrédito in Bogota, Colombia, and the National Registry of Costa Rica)"</w:t>
            </w:r>
          </w:p>
          <w:p>
            <w:pPr>
              <w:pStyle w:val="TableParagraph"/>
              <w:spacing w:before="21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2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1991-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2011</w:t>
            </w:r>
          </w:p>
          <w:p>
            <w:pPr>
              <w:pStyle w:val="TableParagraph"/>
              <w:spacing w:line="309" w:lineRule="auto" w:before="202"/>
              <w:ind w:left="273" w:right="17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Senior Project Engineer CYCS</w:t>
            </w:r>
            <w:r>
              <w:rPr>
                <w:rFonts w:ascii="Arial"/>
                <w:b/>
                <w:spacing w:val="-1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Computing</w:t>
            </w:r>
            <w:r>
              <w:rPr>
                <w:rFonts w:ascii="Arial"/>
                <w:b/>
                <w:spacing w:val="-1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specialist</w:t>
            </w:r>
          </w:p>
          <w:p>
            <w:pPr>
              <w:pStyle w:val="TableParagraph"/>
              <w:spacing w:line="312" w:lineRule="auto" w:before="109"/>
              <w:ind w:left="273"/>
              <w:rPr>
                <w:sz w:val="18"/>
              </w:rPr>
            </w:pPr>
            <w:r>
              <w:rPr>
                <w:sz w:val="18"/>
              </w:rPr>
              <w:t>"My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goal was 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develop and promote specialized consulting services management in two areas: 1. Capitalize on the highly technical requirements of those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clients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infrastructure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solely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 IBM Mainframe technologies, and design and installation of Microwave Telecommunications Networks and Industrial-grade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Electronic Security </w:t>
            </w:r>
            <w:r>
              <w:rPr>
                <w:spacing w:val="-2"/>
                <w:sz w:val="18"/>
              </w:rPr>
              <w:t>Systems.</w:t>
            </w: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0" w:lineRule="atLeast"/>
              <w:ind w:left="273" w:right="4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success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endorsed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 extensive hiring of clients for the development of high-level technical projects"</w:t>
            </w:r>
          </w:p>
        </w:tc>
      </w:tr>
    </w:tbl>
    <w:p>
      <w:pPr>
        <w:spacing w:after="0" w:line="270" w:lineRule="atLeast"/>
        <w:rPr>
          <w:sz w:val="18"/>
        </w:rPr>
        <w:sectPr>
          <w:type w:val="continuous"/>
          <w:pgSz w:w="12240" w:h="15840"/>
          <w:pgMar w:header="0" w:footer="953" w:top="1400" w:bottom="1140" w:left="1660" w:right="1660"/>
        </w:sectPr>
      </w:pPr>
    </w:p>
    <w:p>
      <w:pPr>
        <w:pStyle w:val="Heading1"/>
        <w:spacing w:before="71"/>
      </w:pPr>
      <w:r>
        <w:rPr/>
        <w:t>2012-</w:t>
      </w:r>
      <w:r>
        <w:rPr>
          <w:spacing w:val="-7"/>
        </w:rPr>
        <w:t> </w:t>
      </w:r>
      <w:r>
        <w:rPr>
          <w:spacing w:val="-4"/>
        </w:rPr>
        <w:t>2019</w:t>
      </w:r>
    </w:p>
    <w:p>
      <w:pPr>
        <w:pStyle w:val="Heading2"/>
      </w:pPr>
      <w:r>
        <w:rPr/>
        <w:t>Senior</w:t>
      </w:r>
      <w:r>
        <w:rPr>
          <w:spacing w:val="-2"/>
        </w:rPr>
        <w:t> </w:t>
      </w:r>
      <w:r>
        <w:rPr/>
        <w:t>Project</w:t>
      </w:r>
      <w:r>
        <w:rPr>
          <w:spacing w:val="-3"/>
        </w:rPr>
        <w:t> </w:t>
      </w:r>
      <w:r>
        <w:rPr>
          <w:spacing w:val="-2"/>
        </w:rPr>
        <w:t>Engineer</w:t>
      </w:r>
    </w:p>
    <w:p>
      <w:pPr>
        <w:spacing w:before="62"/>
        <w:ind w:left="4564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CYCS</w:t>
      </w:r>
      <w:r>
        <w:rPr>
          <w:rFonts w:ascii="Arial" w:hAnsi="Arial"/>
          <w:b/>
          <w:spacing w:val="-3"/>
          <w:sz w:val="18"/>
        </w:rPr>
        <w:t> </w:t>
      </w:r>
      <w:r>
        <w:rPr>
          <w:rFonts w:ascii="Arial" w:hAnsi="Arial"/>
          <w:b/>
          <w:sz w:val="18"/>
        </w:rPr>
        <w:t>Ingeniería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z w:val="18"/>
        </w:rPr>
        <w:t>e</w:t>
      </w:r>
      <w:r>
        <w:rPr>
          <w:rFonts w:ascii="Arial" w:hAnsi="Arial"/>
          <w:b/>
          <w:spacing w:val="-2"/>
          <w:sz w:val="18"/>
        </w:rPr>
        <w:t> Instalaciones</w:t>
      </w:r>
    </w:p>
    <w:p>
      <w:pPr>
        <w:pStyle w:val="BodyText"/>
        <w:spacing w:line="312" w:lineRule="auto" w:before="170"/>
        <w:ind w:left="4564" w:right="373"/>
      </w:pPr>
      <w:r>
        <w:rPr/>
        <w:drawing>
          <wp:anchor distT="0" distB="0" distL="0" distR="0" allowOverlap="1" layoutInCell="1" locked="0" behindDoc="1" simplePos="0" relativeHeight="487411200">
            <wp:simplePos x="0" y="0"/>
            <wp:positionH relativeFrom="page">
              <wp:posOffset>1219574</wp:posOffset>
            </wp:positionH>
            <wp:positionV relativeFrom="paragraph">
              <wp:posOffset>997492</wp:posOffset>
            </wp:positionV>
            <wp:extent cx="5293620" cy="5116655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620" cy="51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"My goal was to develop and promote the new consulting area, focused on providing design, installation, and training services for telecommunications systems (specifically Microwave networks), and industrial-grade electronic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systems.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success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my management is endorsed, both by the quantity and the technical complexity of the projects contracted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successfully</w:t>
      </w:r>
      <w:r>
        <w:rPr>
          <w:spacing w:val="-8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large- scale and high-level corporate clients.</w:t>
      </w:r>
    </w:p>
    <w:p>
      <w:pPr>
        <w:pStyle w:val="BodyText"/>
        <w:spacing w:before="93"/>
      </w:pPr>
    </w:p>
    <w:p>
      <w:pPr>
        <w:pStyle w:val="BodyText"/>
        <w:spacing w:line="312" w:lineRule="auto"/>
        <w:ind w:left="4564" w:right="373"/>
      </w:pPr>
      <w:r>
        <w:rPr/>
        <w:t>Below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find</w:t>
      </w:r>
      <w:r>
        <w:rPr>
          <w:spacing w:val="-7"/>
        </w:rPr>
        <w:t> </w:t>
      </w:r>
      <w:r>
        <w:rPr/>
        <w:t>links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successful</w:t>
      </w:r>
      <w:r>
        <w:rPr>
          <w:spacing w:val="-5"/>
        </w:rPr>
        <w:t> </w:t>
      </w:r>
      <w:r>
        <w:rPr/>
        <w:t>projects that were reviewed at the time by the Taiwanese company Airlive, a world leader in network technology and security video cameras"</w:t>
      </w:r>
    </w:p>
    <w:p>
      <w:pPr>
        <w:pStyle w:val="BodyText"/>
        <w:spacing w:before="62"/>
      </w:pPr>
    </w:p>
    <w:p>
      <w:pPr>
        <w:spacing w:line="249" w:lineRule="auto" w:before="0"/>
        <w:ind w:left="4564" w:right="0" w:hanging="2"/>
        <w:jc w:val="left"/>
        <w:rPr>
          <w:sz w:val="18"/>
        </w:rPr>
      </w:pPr>
      <w:r>
        <w:rPr/>
        <w:drawing>
          <wp:inline distT="0" distB="0" distL="0" distR="0">
            <wp:extent cx="114300" cy="11430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hyperlink r:id="rId13">
        <w:r>
          <w:rPr>
            <w:rFonts w:ascii="Arial"/>
            <w:b/>
            <w:color w:val="0000ED"/>
            <w:spacing w:val="-5"/>
            <w:position w:val="1"/>
            <w:sz w:val="18"/>
            <w:u w:val="single" w:color="0000ED"/>
          </w:rPr>
          <w:t> </w:t>
        </w:r>
        <w:r>
          <w:rPr>
            <w:rFonts w:ascii="Arial"/>
            <w:b/>
            <w:color w:val="0000ED"/>
            <w:position w:val="1"/>
            <w:sz w:val="18"/>
            <w:u w:val="single" w:color="0000ED"/>
          </w:rPr>
          <w:t>CEGASA</w:t>
        </w:r>
        <w:r>
          <w:rPr>
            <w:rFonts w:ascii="Arial"/>
            <w:b/>
            <w:color w:val="0000ED"/>
            <w:spacing w:val="-8"/>
            <w:position w:val="1"/>
            <w:sz w:val="18"/>
            <w:u w:val="single" w:color="0000ED"/>
          </w:rPr>
          <w:t> </w:t>
        </w:r>
        <w:r>
          <w:rPr>
            <w:rFonts w:ascii="Arial"/>
            <w:b/>
            <w:color w:val="0000ED"/>
            <w:position w:val="1"/>
            <w:sz w:val="18"/>
            <w:u w:val="single" w:color="0000ED"/>
          </w:rPr>
          <w:t>2016.</w:t>
        </w:r>
        <w:r>
          <w:rPr>
            <w:rFonts w:ascii="Arial"/>
            <w:b/>
            <w:color w:val="0000ED"/>
            <w:spacing w:val="-5"/>
            <w:position w:val="1"/>
            <w:sz w:val="18"/>
            <w:u w:val="single" w:color="0000ED"/>
          </w:rPr>
          <w:t> </w:t>
        </w:r>
        <w:r>
          <w:rPr>
            <w:color w:val="0000ED"/>
            <w:position w:val="1"/>
            <w:sz w:val="18"/>
            <w:u w:val="single" w:color="0000ED"/>
          </w:rPr>
          <w:t>IP</w:t>
        </w:r>
        <w:r>
          <w:rPr>
            <w:color w:val="0000ED"/>
            <w:spacing w:val="-5"/>
            <w:position w:val="1"/>
            <w:sz w:val="18"/>
            <w:u w:val="single" w:color="0000ED"/>
          </w:rPr>
          <w:t> </w:t>
        </w:r>
        <w:r>
          <w:rPr>
            <w:color w:val="0000ED"/>
            <w:position w:val="1"/>
            <w:sz w:val="18"/>
            <w:u w:val="single" w:color="0000ED"/>
          </w:rPr>
          <w:t>Video</w:t>
        </w:r>
        <w:r>
          <w:rPr>
            <w:color w:val="0000ED"/>
            <w:spacing w:val="-7"/>
            <w:position w:val="1"/>
            <w:sz w:val="18"/>
            <w:u w:val="single" w:color="0000ED"/>
          </w:rPr>
          <w:t> </w:t>
        </w:r>
        <w:r>
          <w:rPr>
            <w:color w:val="0000ED"/>
            <w:position w:val="1"/>
            <w:sz w:val="18"/>
            <w:u w:val="single" w:color="0000ED"/>
          </w:rPr>
          <w:t>Surveillance</w:t>
        </w:r>
        <w:r>
          <w:rPr>
            <w:color w:val="0000ED"/>
            <w:spacing w:val="-7"/>
            <w:position w:val="1"/>
            <w:sz w:val="18"/>
            <w:u w:val="single" w:color="0000ED"/>
          </w:rPr>
          <w:t> </w:t>
        </w:r>
        <w:r>
          <w:rPr>
            <w:color w:val="0000ED"/>
            <w:position w:val="1"/>
            <w:sz w:val="18"/>
            <w:u w:val="single" w:color="0000ED"/>
          </w:rPr>
          <w:t>and</w:t>
        </w:r>
      </w:hyperlink>
      <w:r>
        <w:rPr>
          <w:color w:val="0000ED"/>
          <w:position w:val="1"/>
          <w:sz w:val="18"/>
        </w:rPr>
        <w:t> </w:t>
      </w:r>
      <w:hyperlink r:id="rId13">
        <w:r>
          <w:rPr>
            <w:color w:val="0000ED"/>
            <w:spacing w:val="-2"/>
            <w:sz w:val="18"/>
            <w:u w:val="single" w:color="0000ED"/>
          </w:rPr>
          <w:t>Telecommunication</w:t>
        </w:r>
      </w:hyperlink>
    </w:p>
    <w:p>
      <w:pPr>
        <w:pStyle w:val="BodyText"/>
        <w:spacing w:before="13"/>
      </w:pPr>
    </w:p>
    <w:p>
      <w:pPr>
        <w:spacing w:line="252" w:lineRule="auto" w:before="0"/>
        <w:ind w:left="4564" w:right="0" w:hanging="2"/>
        <w:jc w:val="left"/>
        <w:rPr>
          <w:sz w:val="18"/>
        </w:rPr>
      </w:pPr>
      <w:r>
        <w:rPr/>
        <w:drawing>
          <wp:inline distT="0" distB="0" distL="0" distR="0">
            <wp:extent cx="114300" cy="1143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hyperlink r:id="rId14">
        <w:r>
          <w:rPr>
            <w:rFonts w:ascii="Arial"/>
            <w:b/>
            <w:color w:val="0000ED"/>
            <w:spacing w:val="-6"/>
            <w:position w:val="1"/>
            <w:sz w:val="18"/>
            <w:u w:val="single" w:color="0000ED"/>
          </w:rPr>
          <w:t> </w:t>
        </w:r>
        <w:r>
          <w:rPr>
            <w:rFonts w:ascii="Arial"/>
            <w:b/>
            <w:color w:val="0000ED"/>
            <w:position w:val="1"/>
            <w:sz w:val="18"/>
            <w:u w:val="single" w:color="0000ED"/>
          </w:rPr>
          <w:t>FITVEN</w:t>
        </w:r>
        <w:r>
          <w:rPr>
            <w:rFonts w:ascii="Arial"/>
            <w:b/>
            <w:color w:val="0000ED"/>
            <w:spacing w:val="-6"/>
            <w:position w:val="1"/>
            <w:sz w:val="18"/>
            <w:u w:val="single" w:color="0000ED"/>
          </w:rPr>
          <w:t> </w:t>
        </w:r>
        <w:r>
          <w:rPr>
            <w:rFonts w:ascii="Arial"/>
            <w:b/>
            <w:color w:val="0000ED"/>
            <w:position w:val="1"/>
            <w:sz w:val="18"/>
            <w:u w:val="single" w:color="0000ED"/>
          </w:rPr>
          <w:t>2013.</w:t>
        </w:r>
        <w:r>
          <w:rPr>
            <w:rFonts w:ascii="Arial"/>
            <w:b/>
            <w:color w:val="0000ED"/>
            <w:spacing w:val="-5"/>
            <w:position w:val="1"/>
            <w:sz w:val="18"/>
            <w:u w:val="single" w:color="0000ED"/>
          </w:rPr>
          <w:t> </w:t>
        </w:r>
        <w:r>
          <w:rPr>
            <w:color w:val="0000ED"/>
            <w:position w:val="1"/>
            <w:sz w:val="18"/>
            <w:u w:val="single" w:color="0000ED"/>
          </w:rPr>
          <w:t>IP</w:t>
        </w:r>
        <w:r>
          <w:rPr>
            <w:color w:val="0000ED"/>
            <w:spacing w:val="-6"/>
            <w:position w:val="1"/>
            <w:sz w:val="18"/>
            <w:u w:val="single" w:color="0000ED"/>
          </w:rPr>
          <w:t> </w:t>
        </w:r>
        <w:r>
          <w:rPr>
            <w:color w:val="0000ED"/>
            <w:position w:val="1"/>
            <w:sz w:val="18"/>
            <w:u w:val="single" w:color="0000ED"/>
          </w:rPr>
          <w:t>Video</w:t>
        </w:r>
        <w:r>
          <w:rPr>
            <w:color w:val="0000ED"/>
            <w:spacing w:val="-6"/>
            <w:position w:val="1"/>
            <w:sz w:val="18"/>
            <w:u w:val="single" w:color="0000ED"/>
          </w:rPr>
          <w:t> </w:t>
        </w:r>
        <w:r>
          <w:rPr>
            <w:color w:val="0000ED"/>
            <w:position w:val="1"/>
            <w:sz w:val="18"/>
            <w:u w:val="single" w:color="0000ED"/>
          </w:rPr>
          <w:t>Surveillance</w:t>
        </w:r>
        <w:r>
          <w:rPr>
            <w:color w:val="0000ED"/>
            <w:spacing w:val="-8"/>
            <w:position w:val="1"/>
            <w:sz w:val="18"/>
            <w:u w:val="single" w:color="0000ED"/>
          </w:rPr>
          <w:t> </w:t>
        </w:r>
        <w:r>
          <w:rPr>
            <w:color w:val="0000ED"/>
            <w:position w:val="1"/>
            <w:sz w:val="18"/>
            <w:u w:val="single" w:color="0000ED"/>
          </w:rPr>
          <w:t>and</w:t>
        </w:r>
      </w:hyperlink>
      <w:r>
        <w:rPr>
          <w:color w:val="0000ED"/>
          <w:position w:val="1"/>
          <w:sz w:val="18"/>
        </w:rPr>
        <w:t> </w:t>
      </w:r>
      <w:hyperlink r:id="rId14">
        <w:r>
          <w:rPr>
            <w:color w:val="0000ED"/>
            <w:spacing w:val="-2"/>
            <w:sz w:val="18"/>
            <w:u w:val="single" w:color="0000ED"/>
          </w:rPr>
          <w:t>Telecommunication</w:t>
        </w:r>
      </w:hyperlink>
    </w:p>
    <w:p>
      <w:pPr>
        <w:pStyle w:val="BodyText"/>
        <w:spacing w:before="173"/>
        <w:rPr>
          <w:sz w:val="20"/>
        </w:rPr>
      </w:pPr>
    </w:p>
    <w:p>
      <w:pPr>
        <w:pStyle w:val="Heading1"/>
      </w:pPr>
      <w:r>
        <w:rPr/>
        <w:t>2019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2"/>
        </w:rPr>
        <w:t>Present</w:t>
      </w:r>
    </w:p>
    <w:p>
      <w:pPr>
        <w:pStyle w:val="Heading2"/>
        <w:spacing w:line="309" w:lineRule="auto"/>
        <w:ind w:right="2798"/>
      </w:pPr>
      <w:r>
        <w:rPr/>
        <w:t>Senior</w:t>
      </w:r>
      <w:r>
        <w:rPr>
          <w:spacing w:val="-13"/>
        </w:rPr>
        <w:t> </w:t>
      </w:r>
      <w:r>
        <w:rPr/>
        <w:t>Consultant </w:t>
      </w:r>
      <w:r>
        <w:rPr>
          <w:spacing w:val="-2"/>
        </w:rPr>
        <w:t>Freelance</w:t>
      </w:r>
    </w:p>
    <w:p>
      <w:pPr>
        <w:pStyle w:val="BodyText"/>
        <w:spacing w:line="312" w:lineRule="auto" w:before="112"/>
        <w:ind w:left="4564" w:right="196"/>
      </w:pPr>
      <w:r>
        <w:rPr/>
        <w:t>"During the pandemic phases (virus outbreak, lockdown,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post-pandemic</w:t>
      </w:r>
      <w:r>
        <w:rPr>
          <w:spacing w:val="-4"/>
        </w:rPr>
        <w:t> </w:t>
      </w:r>
      <w:r>
        <w:rPr/>
        <w:t>era),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had to reinvent myself,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then I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services in the software engineering area of design and development of applications for smartphones, PCs, and servers. Likewise, I continue to provide maintenance services for legacy projects and the installation of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projects for</w:t>
      </w:r>
      <w:r>
        <w:rPr>
          <w:spacing w:val="-1"/>
        </w:rPr>
        <w:t> </w:t>
      </w:r>
      <w:r>
        <w:rPr/>
        <w:t>clients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areas of telecommunications and electronic security</w:t>
      </w:r>
      <w:r>
        <w:rPr>
          <w:spacing w:val="40"/>
        </w:rPr>
        <w:t> </w:t>
      </w:r>
      <w:r>
        <w:rPr>
          <w:spacing w:val="-2"/>
        </w:rPr>
        <w:t>systems"</w:t>
      </w:r>
    </w:p>
    <w:sectPr>
      <w:pgSz w:w="12240" w:h="15840"/>
      <w:pgMar w:header="0" w:footer="953" w:top="1340" w:bottom="114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9152">
              <wp:simplePos x="0" y="0"/>
              <wp:positionH relativeFrom="page">
                <wp:posOffset>3816730</wp:posOffset>
              </wp:positionH>
              <wp:positionV relativeFrom="page">
                <wp:posOffset>9313494</wp:posOffset>
              </wp:positionV>
              <wp:extent cx="153035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30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color w:val="5B9BD4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5B9BD4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color w:val="5B9BD4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5B9BD4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5B9BD4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529999pt;margin-top:733.346008pt;width:12.05pt;height:12pt;mso-position-horizontal-relative:page;mso-position-vertical-relative:page;z-index:-15907328" type="#_x0000_t202" id="docshape1" filled="false" stroked="false">
              <v:textbox inset="0,0,0,0">
                <w:txbxContent>
                  <w:p>
                    <w:pPr>
                      <w:spacing w:line="223" w:lineRule="exact" w:before="0"/>
                      <w:ind w:left="6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5B9BD4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color w:val="5B9BD4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Calibri"/>
                        <w:color w:val="5B9BD4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color w:val="5B9BD4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Calibri"/>
                        <w:color w:val="5B9BD4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07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0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1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2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2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4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34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5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64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1"/>
      <w:ind w:left="4564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ccolmenaresa@gmail.com" TargetMode="External"/><Relationship Id="rId9" Type="http://schemas.openxmlformats.org/officeDocument/2006/relationships/hyperlink" Target="https://carlos-colmenares-a.netlify.app/" TargetMode="External"/><Relationship Id="rId10" Type="http://schemas.openxmlformats.org/officeDocument/2006/relationships/hyperlink" Target="https://www.linkedin.com/cycscarlos" TargetMode="External"/><Relationship Id="rId11" Type="http://schemas.openxmlformats.org/officeDocument/2006/relationships/hyperlink" Target="https://github.com/cycscarlos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airlivela.blogspot.com/2016/04/implementan-un-sistema-de-video.html?utm_source=feedburner&amp;utm_medium=email&amp;utm_campaign=Feed%3A%2Bblogspot/nkNtE%2B(Air%2BLive%2BLatin%2BAmerica)" TargetMode="External"/><Relationship Id="rId14" Type="http://schemas.openxmlformats.org/officeDocument/2006/relationships/hyperlink" Target="https://airlivela.blogspot.com/2013/11/fitven-2013-de-venezuela-confio-en-las.html?utm_source=feedburner&amp;utm_medium=email&amp;utm_campaign=Feed%3A%2Bblogspot/nkNtE%2B(Air%2BLive%2BLatin%2BAmerica)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zCoder</dc:creator>
  <dcterms:created xsi:type="dcterms:W3CDTF">2024-07-04T23:47:53Z</dcterms:created>
  <dcterms:modified xsi:type="dcterms:W3CDTF">2024-07-04T23:47:53Z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2024-07-04T00:00:00Z</vt:filetime>
  </property>
  <property fmtid="{D5CDD505-2E9C-101B-9397-08002B2CF9AE}" pid="5" name="Producer">
    <vt:lpwstr>Microsoft® Word 2013</vt:lpwstr>
  </property>
</Properties>
</file>