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7" w:lineRule="auto"/>
        <w:jc w:val="center"/>
      </w:pPr>
      <w:r>
        <w:rPr>
          <w:rFonts w:ascii="Aptos" w:hAnsi="Aptos" w:eastAsia="Microsoft YaHei"/>
          <w:b/>
          <w:color w:val="17365D"/>
          <w:sz w:val="44"/>
        </w:rPr>
        <w:t>曹宇迪</w:t>
      </w:r>
    </w:p>
    <w:p>
      <w:pPr>
        <w:spacing w:before="0" w:after="40" w:line="247" w:lineRule="auto"/>
        <w:jc w:val="center"/>
      </w:pPr>
      <w:r>
        <w:rPr>
          <w:rFonts w:ascii="Aptos" w:hAnsi="Aptos" w:eastAsia="Microsoft YaHei"/>
          <w:b/>
          <w:color w:val="1F4E79"/>
          <w:sz w:val="20"/>
        </w:rPr>
        <w:t>B端AI应用产品负责人 / 企业级AI产品负责人 / Agent产品负责人</w:t>
      </w:r>
    </w:p>
    <w:p>
      <w:pPr>
        <w:spacing w:before="0" w:after="140" w:line="247" w:lineRule="auto"/>
        <w:jc w:val="center"/>
      </w:pPr>
      <w:r>
        <w:rPr>
          <w:rFonts w:ascii="Aptos" w:hAnsi="Aptos" w:eastAsia="Microsoft YaHei"/>
          <w:color w:val="4D4D4D"/>
          <w:sz w:val="17"/>
        </w:rPr>
        <w:t>男 | 33岁 | 北京 | 12年产品经验 | 13540378437 | 13540378437@163.com | 期望薪资：40K</w:t>
      </w:r>
    </w:p>
    <w:p>
      <w:pPr>
        <w:spacing w:before="160" w:after="80" w:line="247" w:lineRule="auto"/>
        <w:pBdr>
          <w:bottom w:val="single" w:sz="8" w:space="3" w:color="D9E2EA"/>
        </w:pBdr>
      </w:pPr>
      <w:r>
        <w:rPr>
          <w:rFonts w:ascii="Aptos" w:hAnsi="Aptos" w:eastAsia="Microsoft YaHei"/>
          <w:b/>
          <w:color w:val="17365D"/>
          <w:sz w:val="24"/>
        </w:rPr>
        <w:t>职业概览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22"/>
      </w:tblGrid>
      <w:tr>
        <w:tc>
          <w:tcPr>
            <w:tcW w:type="dxa" w:w="10522"/>
            <w:shd w:fill="F5F9FC"/>
            <w:tcMar>
              <w:top w:w="120" w:type="dxa"/>
              <w:start w:w="170" w:type="dxa"/>
              <w:bottom w:w="110" w:type="dxa"/>
              <w:end w:w="170" w:type="dxa"/>
            </w:tcMar>
            <w:tcBorders>
              <w:top w:val="single" w:sz="6" w:color="D9E2EA"/>
              <w:bottom w:val="single" w:sz="6" w:color="D9E2EA"/>
              <w:left w:val="single" w:sz="18" w:color="1F4E79"/>
              <w:right w:val="single" w:sz="4" w:color="D9E2EA"/>
            </w:tcBorders>
          </w:tcPr>
          <w:p>
            <w:pPr>
              <w:spacing w:before="0" w:after="0" w:line="254" w:lineRule="auto"/>
            </w:pPr>
            <w:r>
              <w:rPr>
                <w:rFonts w:ascii="Aptos" w:hAnsi="Aptos" w:eastAsia="Microsoft YaHei"/>
                <w:color w:val="222222"/>
                <w:sz w:val="18"/>
              </w:rPr>
              <w:t>12年产品规划、设计、落地经验，5年产品管理&amp;团队管理经验，曾负责企业级PaaS平台、智慧园区/智慧厂务数字化产品、企业级AI/Agent应用产品建设与管理。擅长把复杂的业务场景抽象为业务对象、流程规则、权限边界、数据结构，构建可配置、可追踪、可复用、可度量的产品体系；能够基于Ontology方法构建业务本体模型，应用LLM、Agent的能力与Human-in-the-loop交互机制推动AI能力嵌入真实业务流程，同时沉淀可复用的AI产品设计方法。</w:t>
            </w:r>
          </w:p>
        </w:tc>
      </w:tr>
    </w:tbl>
    <w:p>
      <w:pPr>
        <w:spacing w:before="160" w:after="80" w:line="247" w:lineRule="auto"/>
        <w:pBdr>
          <w:bottom w:val="single" w:sz="8" w:space="3" w:color="D9E2EA"/>
        </w:pBdr>
      </w:pPr>
      <w:r>
        <w:rPr>
          <w:rFonts w:ascii="Aptos" w:hAnsi="Aptos" w:eastAsia="Microsoft YaHei"/>
          <w:b/>
          <w:color w:val="17365D"/>
          <w:sz w:val="24"/>
        </w:rPr>
        <w:t>核心能力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61"/>
        <w:gridCol w:w="5261"/>
      </w:tblGrid>
      <w:tr>
        <w:tc>
          <w:tcPr>
            <w:tcW w:type="dxa" w:w="4978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nil"/>
              <w:insideV w:val="nil"/>
            </w:tcBorders>
            <w:vAlign w:val="top"/>
            <w:tcMar>
              <w:top w:w="78" w:type="dxa"/>
              <w:start w:w="100" w:type="dxa"/>
              <w:bottom w:w="78" w:type="dxa"/>
              <w:end w:w="100" w:type="dxa"/>
            </w:tcMar>
            <w:shd w:fill="FBFCFD"/>
          </w:tcPr>
          <w:p>
            <w:pPr>
              <w:spacing w:before="0" w:after="24" w:line="245" w:lineRule="auto"/>
            </w:pPr>
            <w:r>
              <w:rPr>
                <w:rFonts w:ascii="Aptos" w:hAnsi="Aptos" w:eastAsia="Microsoft YaHei"/>
                <w:b/>
                <w:color w:val="17365D"/>
                <w:sz w:val="17"/>
              </w:rPr>
              <w:t>复杂业务抽象建模：</w:t>
            </w:r>
            <w:r>
              <w:rPr>
                <w:rFonts w:ascii="Aptos" w:hAnsi="Aptos" w:eastAsia="Microsoft YaHei"/>
                <w:color w:val="222222"/>
                <w:sz w:val="16"/>
              </w:rPr>
              <w:t>将复杂业务场景抽象成可被客户、产品团队、研发团队共同理解的业务对象、业务流程、业务指标、对象关系、执行策略、权限边界等关键要素，统一业务语言，降低需求理解、方案设计与研发实现过程中的沟通成本；</w:t>
            </w:r>
          </w:p>
        </w:tc>
        <w:tc>
          <w:tcPr>
            <w:tcW w:type="dxa" w:w="4978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nil"/>
              <w:insideV w:val="nil"/>
            </w:tcBorders>
            <w:vAlign w:val="top"/>
            <w:tcMar>
              <w:top w:w="78" w:type="dxa"/>
              <w:start w:w="100" w:type="dxa"/>
              <w:bottom w:w="78" w:type="dxa"/>
              <w:end w:w="100" w:type="dxa"/>
            </w:tcMar>
            <w:shd w:fill="FBFCFD"/>
          </w:tcPr>
          <w:p>
            <w:pPr>
              <w:spacing w:before="0" w:after="24" w:line="245" w:lineRule="auto"/>
            </w:pPr>
            <w:r>
              <w:rPr>
                <w:rFonts w:ascii="Aptos" w:hAnsi="Aptos" w:eastAsia="Microsoft YaHei"/>
                <w:b/>
                <w:color w:val="17365D"/>
                <w:sz w:val="17"/>
              </w:rPr>
              <w:t>系统性产品架构能力：</w:t>
            </w:r>
            <w:r>
              <w:rPr>
                <w:rFonts w:ascii="Aptos" w:hAnsi="Aptos" w:eastAsia="Microsoft YaHei"/>
                <w:color w:val="222222"/>
                <w:sz w:val="16"/>
              </w:rPr>
              <w:t>在产品规划阶段，能够从业务目标、对象模型、主流程、状态流转、权限体系、数据结构、配置策略、指标体系和异常兜底等维度进行系统性设计；面对单点需求时，能够判断其对主链路、标准模型、复用能力、客户差异化和历史版本的影响，避免功能堆叠；通过模块边界、配置能力、扩展接口及产品切换策略设计，提高产品标准化、复用性和长期演进能力；</w:t>
            </w:r>
          </w:p>
        </w:tc>
      </w:tr>
      <w:tr>
        <w:tc>
          <w:tcPr>
            <w:tcW w:type="dxa" w:w="4978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nil"/>
              <w:insideV w:val="nil"/>
            </w:tcBorders>
            <w:vAlign w:val="top"/>
            <w:tcMar>
              <w:top w:w="78" w:type="dxa"/>
              <w:start w:w="100" w:type="dxa"/>
              <w:bottom w:w="78" w:type="dxa"/>
              <w:end w:w="100" w:type="dxa"/>
            </w:tcMar>
            <w:shd w:fill="FBFCFD"/>
          </w:tcPr>
          <w:p>
            <w:pPr>
              <w:spacing w:before="0" w:after="24" w:line="245" w:lineRule="auto"/>
            </w:pPr>
            <w:r>
              <w:rPr>
                <w:rFonts w:ascii="Aptos" w:hAnsi="Aptos" w:eastAsia="Microsoft YaHei"/>
                <w:b/>
                <w:color w:val="17365D"/>
                <w:sz w:val="17"/>
              </w:rPr>
              <w:t>AI/Agent应用产品化：</w:t>
            </w:r>
            <w:r>
              <w:rPr>
                <w:rFonts w:ascii="Aptos" w:hAnsi="Aptos" w:eastAsia="Microsoft YaHei"/>
                <w:color w:val="222222"/>
                <w:sz w:val="16"/>
              </w:rPr>
              <w:t>能够从业务价值、数据基础、模型能力边界、执行风险和人工审核成本出发，识别适合 AI 介入的业务节点；基于 Ontology 方法构建业务本体模型，并结合客户业务资料、专家经验、规则文档、历史案例 / 工单等补充数据，完成新业务场景下的 AI 应用冷启动；设计 Context 组织、Workflow 编排、Agent 执行链路、Human-in-the-loop 机制、效果评估方法及可视化 Agent 运行监测平台，推动 AI 应用可用、可控、可观测、可迭代；</w:t>
            </w:r>
          </w:p>
        </w:tc>
        <w:tc>
          <w:tcPr>
            <w:tcW w:type="dxa" w:w="4978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nil"/>
              <w:insideV w:val="nil"/>
            </w:tcBorders>
            <w:vAlign w:val="top"/>
            <w:tcMar>
              <w:top w:w="78" w:type="dxa"/>
              <w:start w:w="100" w:type="dxa"/>
              <w:bottom w:w="78" w:type="dxa"/>
              <w:end w:w="100" w:type="dxa"/>
            </w:tcMar>
            <w:shd w:fill="FBFCFD"/>
          </w:tcPr>
          <w:p>
            <w:pPr>
              <w:spacing w:before="0" w:after="24" w:line="245" w:lineRule="auto"/>
            </w:pPr>
            <w:r>
              <w:rPr>
                <w:rFonts w:ascii="Aptos" w:hAnsi="Aptos" w:eastAsia="Microsoft YaHei"/>
                <w:b/>
                <w:color w:val="17365D"/>
                <w:sz w:val="17"/>
              </w:rPr>
              <w:t>产品规划与交付管理：</w:t>
            </w:r>
            <w:r>
              <w:rPr>
                <w:rFonts w:ascii="Aptos" w:hAnsi="Aptos" w:eastAsia="Microsoft YaHei"/>
                <w:color w:val="222222"/>
                <w:sz w:val="16"/>
              </w:rPr>
              <w:t>能够基于客户痛点、业务价值、技术可行性、交付成本和产品长期战略，制定产品路线图、版本计划、需求优先级和阶段目标，推动从需求调研、方案设计、原型 / PRD、研发协同、测试验收到上线迭代的完整闭环；</w:t>
            </w:r>
          </w:p>
        </w:tc>
      </w:tr>
      <w:tr>
        <w:tc>
          <w:tcPr>
            <w:tcW w:type="dxa" w:w="9956"/>
            <w:gridSpan w:val="2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nil"/>
              <w:insideV w:val="nil"/>
            </w:tcBorders>
            <w:vAlign w:val="top"/>
            <w:tcMar>
              <w:top w:w="78" w:type="dxa"/>
              <w:start w:w="100" w:type="dxa"/>
              <w:bottom w:w="78" w:type="dxa"/>
              <w:end w:w="100" w:type="dxa"/>
            </w:tcMar>
            <w:shd w:fill="FBFCFD"/>
          </w:tcPr>
          <w:p>
            <w:pPr>
              <w:spacing w:before="0" w:after="24" w:line="245" w:lineRule="auto"/>
            </w:pPr>
            <w:r>
              <w:rPr>
                <w:rFonts w:ascii="Aptos" w:hAnsi="Aptos" w:eastAsia="Microsoft YaHei"/>
                <w:b/>
                <w:color w:val="17365D"/>
                <w:sz w:val="17"/>
              </w:rPr>
              <w:t>团队管理与跨组织落地：</w:t>
            </w:r>
            <w:r>
              <w:rPr>
                <w:rFonts w:ascii="Aptos" w:hAnsi="Aptos" w:eastAsia="Microsoft YaHei"/>
                <w:color w:val="222222"/>
                <w:sz w:val="16"/>
              </w:rPr>
              <w:t>具备产品团队管理和跨部门协同经验，能够围绕产品目标、业务目标和团队成长目标建立目标拆解、过程跟踪、评审决策和复盘改进机制，协同销售、解决方案、研发、实施及客户侧团队，推动产品方案转化为可落地成果并沉淀组织能力。</w:t>
            </w:r>
          </w:p>
        </w:tc>
      </w:tr>
    </w:tbl>
    <w:p>
      <w:pPr>
        <w:spacing w:before="160" w:after="80" w:line="247" w:lineRule="auto"/>
        <w:pBdr>
          <w:bottom w:val="single" w:sz="8" w:space="3" w:color="D9E2EA"/>
        </w:pBdr>
      </w:pPr>
      <w:r>
        <w:rPr>
          <w:rFonts w:ascii="Aptos" w:hAnsi="Aptos" w:eastAsia="Microsoft YaHei"/>
          <w:b/>
          <w:color w:val="17365D"/>
          <w:sz w:val="24"/>
        </w:rPr>
        <w:t>工作经历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7"/>
        <w:gridCol w:w="3507"/>
        <w:gridCol w:w="3507"/>
      </w:tblGrid>
      <w:tr>
        <w:tc>
          <w:tcPr>
            <w:tcW w:type="dxa" w:w="4139"/>
            <w:vAlign w:val="center"/>
            <w:shd w:fill="EAF2F8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6" w:color="D9E2EA"/>
              <w:bottom w:val="single" w:sz="6" w:color="D9E2EA"/>
              <w:left w:val="nil"/>
              <w:right w:val="nil"/>
            </w:tcBorders>
          </w:tcPr>
          <w:p>
            <w:pPr>
              <w:spacing w:before="0" w:after="0" w:line="247" w:lineRule="auto"/>
            </w:pPr>
            <w:r>
              <w:rPr>
                <w:rFonts w:ascii="Aptos" w:hAnsi="Aptos" w:eastAsia="Microsoft YaHei"/>
                <w:b/>
                <w:color w:val="17365D"/>
                <w:sz w:val="18"/>
              </w:rPr>
              <w:t>博锐尚格科技股份有限公司</w:t>
            </w:r>
          </w:p>
        </w:tc>
        <w:tc>
          <w:tcPr>
            <w:tcW w:type="dxa" w:w="3458"/>
            <w:vAlign w:val="center"/>
            <w:shd w:fill="EAF2F8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6" w:color="D9E2EA"/>
              <w:bottom w:val="single" w:sz="6" w:color="D9E2EA"/>
              <w:left w:val="nil"/>
              <w:right w:val="nil"/>
            </w:tcBorders>
          </w:tcPr>
          <w:p>
            <w:pPr>
              <w:spacing w:before="0" w:after="0" w:line="247" w:lineRule="auto"/>
            </w:pPr>
            <w:r>
              <w:rPr>
                <w:rFonts w:ascii="Aptos" w:hAnsi="Aptos" w:eastAsia="Microsoft YaHei"/>
                <w:b/>
                <w:color w:val="4D4D4D"/>
                <w:sz w:val="17"/>
              </w:rPr>
              <w:t>企业级AI应用与数字化产品负责人</w:t>
            </w:r>
          </w:p>
        </w:tc>
        <w:tc>
          <w:tcPr>
            <w:tcW w:type="dxa" w:w="2381"/>
            <w:vAlign w:val="center"/>
            <w:shd w:fill="EAF2F8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6" w:color="D9E2EA"/>
              <w:bottom w:val="single" w:sz="6" w:color="D9E2EA"/>
              <w:left w:val="nil"/>
              <w:right w:val="nil"/>
            </w:tcBorders>
          </w:tcPr>
          <w:p>
            <w:pPr>
              <w:spacing w:before="0" w:after="0" w:line="247" w:lineRule="auto"/>
              <w:jc w:val="right"/>
            </w:pPr>
            <w:r>
              <w:rPr>
                <w:rFonts w:ascii="Aptos" w:hAnsi="Aptos" w:eastAsia="Microsoft YaHei"/>
                <w:b/>
                <w:color w:val="4D4D4D"/>
                <w:sz w:val="17"/>
              </w:rPr>
              <w:t>2021.02-至今</w:t>
            </w:r>
          </w:p>
        </w:tc>
      </w:tr>
    </w:tbl>
    <w:p>
      <w:pPr>
        <w:spacing w:before="60" w:after="20" w:line="247" w:lineRule="auto"/>
      </w:pPr>
      <w:r>
        <w:rPr>
          <w:rFonts w:ascii="Aptos" w:hAnsi="Aptos" w:eastAsia="Microsoft YaHei"/>
          <w:b/>
          <w:color w:val="17365D"/>
          <w:sz w:val="18"/>
        </w:rPr>
        <w:t>总结</w:t>
      </w:r>
    </w:p>
    <w:p>
      <w:pPr>
        <w:spacing w:before="0" w:after="36" w:line="247" w:lineRule="auto"/>
        <w:ind w:left="142" w:hanging="102"/>
      </w:pPr>
      <w:r>
        <w:rPr>
          <w:rFonts w:ascii="Aptos" w:hAnsi="Aptos" w:eastAsia="Microsoft YaHei"/>
          <w:b/>
          <w:color w:val="1F4E79"/>
          <w:sz w:val="17"/>
        </w:rPr>
        <w:t xml:space="preserve">• </w:t>
      </w:r>
      <w:r>
        <w:rPr>
          <w:rFonts w:ascii="Aptos" w:hAnsi="Aptos" w:eastAsia="Microsoft YaHei"/>
          <w:color w:val="222222"/>
          <w:sz w:val="17"/>
        </w:rPr>
        <w:t>作为企业级 AI 应用与数字化产品负责人，负责从 FMEA 知识工程、风险预防与设施运维数字化产品，到 Agent-ARCOS 智能全域资源调度与产能治理平台的完整产品体系建设，覆盖知识生产、业务配置、管理监控、现场执行、智能复盘、资源调度与产能治理等核心链路，对产品规划、客户交付、业务价值验证、商业转化和团队能力沉淀负责。</w:t>
      </w:r>
    </w:p>
    <w:p>
      <w:pPr>
        <w:spacing w:before="60" w:after="20" w:line="247" w:lineRule="auto"/>
      </w:pPr>
      <w:r>
        <w:rPr>
          <w:rFonts w:ascii="Aptos" w:hAnsi="Aptos" w:eastAsia="Microsoft YaHei"/>
          <w:b/>
          <w:color w:val="17365D"/>
          <w:sz w:val="18"/>
        </w:rPr>
        <w:t>职责说明</w:t>
      </w:r>
    </w:p>
    <w:p>
      <w:pPr>
        <w:spacing w:before="0" w:after="36" w:line="247" w:lineRule="auto"/>
        <w:ind w:left="142" w:hanging="102"/>
      </w:pPr>
      <w:r>
        <w:rPr>
          <w:rFonts w:ascii="Aptos" w:hAnsi="Aptos" w:eastAsia="Microsoft YaHei"/>
          <w:b/>
          <w:color w:val="1F4E79"/>
          <w:sz w:val="17"/>
        </w:rPr>
        <w:t xml:space="preserve">• </w:t>
      </w:r>
      <w:r>
        <w:rPr>
          <w:rFonts w:ascii="Aptos" w:hAnsi="Aptos" w:eastAsia="Microsoft YaHei"/>
          <w:color w:val="222222"/>
          <w:sz w:val="17"/>
        </w:rPr>
        <w:t>负责 FMEA 知识库与知识生产线 的产品规划、设计与交付，围绕风险事件、设备实体、失效模式、风控措施、人工观测、IoT 观测与报警策略等知识对象，建立可持续生产、质检、复用和扩展的结构化知识生产体系，为知识生产效率、质量一致性和规模化扩展负责；</w:t>
      </w:r>
    </w:p>
    <w:p>
      <w:pPr>
        <w:spacing w:before="0" w:after="36" w:line="247" w:lineRule="auto"/>
        <w:ind w:left="142" w:hanging="102"/>
      </w:pPr>
      <w:r>
        <w:rPr>
          <w:rFonts w:ascii="Aptos" w:hAnsi="Aptos" w:eastAsia="Microsoft YaHei"/>
          <w:b/>
          <w:color w:val="1F4E79"/>
          <w:sz w:val="17"/>
        </w:rPr>
        <w:t xml:space="preserve">• </w:t>
      </w:r>
      <w:r>
        <w:rPr>
          <w:rFonts w:ascii="Aptos" w:hAnsi="Aptos" w:eastAsia="Microsoft YaHei"/>
          <w:color w:val="222222"/>
          <w:sz w:val="17"/>
        </w:rPr>
        <w:t>基于 FMEA 失效模式与影响分析体系，构建风险预防性维护、故障维修与设施运维相关数字化产品体系，覆盖业务配置、管理监控、执行作业、风险复盘、履职复盘等完整链路，为业务交付、客户体验和产品落地结果负责；</w:t>
      </w:r>
    </w:p>
    <w:p>
      <w:pPr>
        <w:spacing w:before="0" w:after="36" w:line="247" w:lineRule="auto"/>
        <w:ind w:left="142" w:hanging="102"/>
      </w:pPr>
      <w:r>
        <w:rPr>
          <w:rFonts w:ascii="Aptos" w:hAnsi="Aptos" w:eastAsia="Microsoft YaHei"/>
          <w:b/>
          <w:color w:val="1F4E79"/>
          <w:sz w:val="17"/>
        </w:rPr>
        <w:t xml:space="preserve">• </w:t>
      </w:r>
      <w:r>
        <w:rPr>
          <w:rFonts w:ascii="Aptos" w:hAnsi="Aptos" w:eastAsia="Microsoft YaHei"/>
          <w:color w:val="222222"/>
          <w:sz w:val="17"/>
        </w:rPr>
        <w:t>负责 Agent-ARCOS 智能全域资源调度与产能治理平台 建设，将 AI、算法、规则策略与 Agent 化执行链路应用于资产风险管理、任务分派、资源调度和产能治理场景，平衡企业资产风险管理需求与现场执行资源供给，为 Agent 产品的稳定性、可靠性和业务价值负责；</w:t>
      </w:r>
    </w:p>
    <w:p>
      <w:pPr>
        <w:spacing w:before="0" w:after="36" w:line="247" w:lineRule="auto"/>
        <w:ind w:left="142" w:hanging="102"/>
      </w:pPr>
      <w:r>
        <w:rPr>
          <w:rFonts w:ascii="Aptos" w:hAnsi="Aptos" w:eastAsia="Microsoft YaHei"/>
          <w:b/>
          <w:color w:val="1F4E79"/>
          <w:sz w:val="17"/>
        </w:rPr>
        <w:t xml:space="preserve">• </w:t>
      </w:r>
      <w:r>
        <w:rPr>
          <w:rFonts w:ascii="Aptos" w:hAnsi="Aptos" w:eastAsia="Microsoft YaHei"/>
          <w:color w:val="222222"/>
          <w:sz w:val="17"/>
        </w:rPr>
        <w:t>负责产品团队日常管理，包括团队目标制定、绩效考评、产品能力建设、个体培养与跨部门协同机制建设，推动产品团队、研发团队、销售 / 售前团队和实施团队围绕客户交付与产品长期建设协同。</w:t>
      </w:r>
    </w:p>
    <w:p>
      <w:pPr>
        <w:spacing w:before="60" w:after="20" w:line="247" w:lineRule="auto"/>
      </w:pPr>
      <w:r>
        <w:rPr>
          <w:rFonts w:ascii="Aptos" w:hAnsi="Aptos" w:eastAsia="Microsoft YaHei"/>
          <w:b/>
          <w:color w:val="17365D"/>
          <w:sz w:val="18"/>
        </w:rPr>
        <w:t>关键成果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61"/>
        <w:gridCol w:w="5261"/>
      </w:tblGrid>
      <w:tr>
        <w:tc>
          <w:tcPr>
            <w:tcW w:type="dxa" w:w="351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nil"/>
              <w:insideV w:val="nil"/>
            </w:tcBorders>
            <w:vAlign w:val="top"/>
            <w:tcMar>
              <w:top w:w="55" w:type="dxa"/>
              <w:start w:w="25" w:type="dxa"/>
              <w:bottom w:w="35" w:type="dxa"/>
              <w:end w:w="25" w:type="dxa"/>
            </w:tcMar>
            <w:shd w:fill="1F4E79"/>
          </w:tcPr>
          <w:p>
            <w:pPr>
              <w:spacing w:before="0" w:after="0" w:line="247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1</w:t>
            </w:r>
          </w:p>
        </w:tc>
        <w:tc>
          <w:tcPr>
            <w:tcW w:type="dxa" w:w="960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top w:w="30" w:type="dxa"/>
              <w:start w:w="70" w:type="dxa"/>
              <w:bottom w:w="45" w:type="dxa"/>
              <w:end w:w="0" w:type="dxa"/>
            </w:tcMar>
          </w:tcPr>
          <w:p>
            <w:pPr>
              <w:spacing w:before="0" w:after="20" w:line="247" w:lineRule="auto"/>
            </w:pPr>
            <w:r>
              <w:rPr>
                <w:rFonts w:ascii="Aptos" w:hAnsi="Aptos" w:eastAsia="Microsoft YaHei"/>
                <w:b/>
                <w:color w:val="17365D"/>
                <w:sz w:val="18"/>
              </w:rPr>
              <w:t>搭建 FMEA 知识生产线，支撑风险预防、故障诊断与 AI 应用冷启动。</w:t>
            </w:r>
          </w:p>
          <w:p>
            <w:pPr>
              <w:spacing w:before="0" w:after="24" w:line="245" w:lineRule="auto"/>
            </w:pPr>
            <w:r>
              <w:rPr>
                <w:rFonts w:ascii="Aptos" w:hAnsi="Aptos" w:eastAsia="Microsoft YaHei"/>
                <w:color w:val="222222"/>
                <w:sz w:val="17"/>
              </w:rPr>
              <w:t>面向公司内外部知识专家交付 FMEA 知识生产线，支持完成大规模知识生产任务，累计沉淀 980 个风险事件、5 万+风险隐患节点、10 万+人工观测及维修措施、5000+ IoT 观测及报警策略，为风险预防、故障诊断、策略生成和 AI 应用冷启动提供结构化知识基础。通过标准化知识生产流程，将一条完整全新 FMEA 知识的生产周期控制在 2 天以内，单个新增风险事件的生产周期控制在 半天以内。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61"/>
        <w:gridCol w:w="5261"/>
      </w:tblGrid>
      <w:tr>
        <w:tc>
          <w:tcPr>
            <w:tcW w:type="dxa" w:w="351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nil"/>
              <w:insideV w:val="nil"/>
            </w:tcBorders>
            <w:vAlign w:val="top"/>
            <w:tcMar>
              <w:top w:w="55" w:type="dxa"/>
              <w:start w:w="25" w:type="dxa"/>
              <w:bottom w:w="35" w:type="dxa"/>
              <w:end w:w="25" w:type="dxa"/>
            </w:tcMar>
            <w:shd w:fill="1F4E79"/>
          </w:tcPr>
          <w:p>
            <w:pPr>
              <w:spacing w:before="0" w:after="0" w:line="247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2</w:t>
            </w:r>
          </w:p>
        </w:tc>
        <w:tc>
          <w:tcPr>
            <w:tcW w:type="dxa" w:w="960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top w:w="30" w:type="dxa"/>
              <w:start w:w="70" w:type="dxa"/>
              <w:bottom w:w="45" w:type="dxa"/>
              <w:end w:w="0" w:type="dxa"/>
            </w:tcMar>
          </w:tcPr>
          <w:p>
            <w:pPr>
              <w:spacing w:before="0" w:after="20" w:line="247" w:lineRule="auto"/>
            </w:pPr>
            <w:r>
              <w:rPr>
                <w:rFonts w:ascii="Aptos" w:hAnsi="Aptos" w:eastAsia="Microsoft YaHei"/>
                <w:b/>
                <w:color w:val="17365D"/>
                <w:sz w:val="18"/>
              </w:rPr>
              <w:t>交付 FMEA 失效预测分析模拟器，提升复杂产品方案表达与客户理解效率。</w:t>
            </w:r>
          </w:p>
          <w:p>
            <w:pPr>
              <w:spacing w:before="0" w:after="24" w:line="245" w:lineRule="auto"/>
            </w:pPr>
            <w:r>
              <w:rPr>
                <w:rFonts w:ascii="Aptos" w:hAnsi="Aptos" w:eastAsia="Microsoft YaHei"/>
                <w:color w:val="222222"/>
                <w:sz w:val="17"/>
              </w:rPr>
              <w:t>面向销售、售前及解决方案团队交付 FMEA 失效预测分析模拟器，支持前端团队通过具象案例演绎风险事件、失效模式、风控措施、观测策略和业务结果之间的关系，帮助客户理解 FMEA 知识体系在风险预防、故障维修和管理决策中的业务价值，提升复杂产品方案的表达效率、客户理解效率和业务主张材料的生产质量。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61"/>
        <w:gridCol w:w="5261"/>
      </w:tblGrid>
      <w:tr>
        <w:tc>
          <w:tcPr>
            <w:tcW w:type="dxa" w:w="351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nil"/>
              <w:insideV w:val="nil"/>
            </w:tcBorders>
            <w:vAlign w:val="top"/>
            <w:tcMar>
              <w:top w:w="55" w:type="dxa"/>
              <w:start w:w="25" w:type="dxa"/>
              <w:bottom w:w="35" w:type="dxa"/>
              <w:end w:w="25" w:type="dxa"/>
            </w:tcMar>
            <w:shd w:fill="1F4E79"/>
          </w:tcPr>
          <w:p>
            <w:pPr>
              <w:spacing w:before="0" w:after="0" w:line="247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3</w:t>
            </w:r>
          </w:p>
        </w:tc>
        <w:tc>
          <w:tcPr>
            <w:tcW w:type="dxa" w:w="960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top w:w="30" w:type="dxa"/>
              <w:start w:w="70" w:type="dxa"/>
              <w:bottom w:w="45" w:type="dxa"/>
              <w:end w:w="0" w:type="dxa"/>
            </w:tcMar>
          </w:tcPr>
          <w:p>
            <w:pPr>
              <w:spacing w:before="0" w:after="20" w:line="247" w:lineRule="auto"/>
            </w:pPr>
            <w:r>
              <w:rPr>
                <w:rFonts w:ascii="Aptos" w:hAnsi="Aptos" w:eastAsia="Microsoft YaHei"/>
                <w:b/>
                <w:color w:val="17365D"/>
                <w:sz w:val="18"/>
              </w:rPr>
              <w:t>交付业务配置平台，支撑首次业务交付与持续性托管</w:t>
            </w:r>
          </w:p>
          <w:p>
            <w:pPr>
              <w:spacing w:before="0" w:after="24" w:line="245" w:lineRule="auto"/>
            </w:pPr>
            <w:r>
              <w:rPr>
                <w:rFonts w:ascii="Aptos" w:hAnsi="Aptos" w:eastAsia="Microsoft YaHei"/>
                <w:color w:val="222222"/>
                <w:sz w:val="17"/>
              </w:rPr>
              <w:t>面向实施经理交付业务配置平台，覆盖风险台账配置、策略计划配置、工单模型配置、人员组织配置等核心模块，支持实施团队完成首次业务交付与后续持续性业务托管。通过原始资料与配置结果对照报告，周期性证明实施成果、配置完整性和业务托管质量，使实施过程从经验型交付转向可验证、可追踪、可复盘的标准化交付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61"/>
        <w:gridCol w:w="5261"/>
      </w:tblGrid>
      <w:tr>
        <w:tc>
          <w:tcPr>
            <w:tcW w:type="dxa" w:w="351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nil"/>
              <w:insideV w:val="nil"/>
            </w:tcBorders>
            <w:vAlign w:val="top"/>
            <w:tcMar>
              <w:top w:w="55" w:type="dxa"/>
              <w:start w:w="25" w:type="dxa"/>
              <w:bottom w:w="35" w:type="dxa"/>
              <w:end w:w="25" w:type="dxa"/>
            </w:tcMar>
            <w:shd w:fill="1F4E79"/>
          </w:tcPr>
          <w:p>
            <w:pPr>
              <w:spacing w:before="0" w:after="0" w:line="247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4</w:t>
            </w:r>
          </w:p>
        </w:tc>
        <w:tc>
          <w:tcPr>
            <w:tcW w:type="dxa" w:w="960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top w:w="30" w:type="dxa"/>
              <w:start w:w="70" w:type="dxa"/>
              <w:bottom w:w="45" w:type="dxa"/>
              <w:end w:w="0" w:type="dxa"/>
            </w:tcMar>
          </w:tcPr>
          <w:p>
            <w:pPr>
              <w:spacing w:before="0" w:after="20" w:line="247" w:lineRule="auto"/>
            </w:pPr>
            <w:r>
              <w:rPr>
                <w:rFonts w:ascii="Aptos" w:hAnsi="Aptos" w:eastAsia="Microsoft YaHei"/>
                <w:b/>
                <w:color w:val="17365D"/>
                <w:sz w:val="18"/>
              </w:rPr>
              <w:t>交付业务管理平台，形成面向管理层的风险治理与履职管理体系</w:t>
            </w:r>
          </w:p>
          <w:p>
            <w:pPr>
              <w:spacing w:before="0" w:after="24" w:line="245" w:lineRule="auto"/>
            </w:pPr>
            <w:r>
              <w:rPr>
                <w:rFonts w:ascii="Aptos" w:hAnsi="Aptos" w:eastAsia="Microsoft YaHei"/>
                <w:color w:val="222222"/>
                <w:sz w:val="17"/>
              </w:rPr>
              <w:t>面向管理类客户角色交付业务管理平台，覆盖资产台账与处置、风险管理台账、工作流程与要求管理、IoT 各类报警规则台账、计划方案审批与监控、物资 / 工具台账监控及盘点、施工改造 / 高风险维修方案审批、风险事件监控、风险复盘报告、履职复盘报告等核心业务管理模块，支撑客户管理层完成风险治理、过程监管、资源管控、问题追踪和履职复盘。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61"/>
        <w:gridCol w:w="5261"/>
      </w:tblGrid>
      <w:tr>
        <w:tc>
          <w:tcPr>
            <w:tcW w:type="dxa" w:w="351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nil"/>
              <w:insideV w:val="nil"/>
            </w:tcBorders>
            <w:vAlign w:val="top"/>
            <w:tcMar>
              <w:top w:w="55" w:type="dxa"/>
              <w:start w:w="25" w:type="dxa"/>
              <w:bottom w:w="35" w:type="dxa"/>
              <w:end w:w="25" w:type="dxa"/>
            </w:tcMar>
            <w:shd w:fill="1F4E79"/>
          </w:tcPr>
          <w:p>
            <w:pPr>
              <w:spacing w:before="0" w:after="0" w:line="247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5</w:t>
            </w:r>
          </w:p>
        </w:tc>
        <w:tc>
          <w:tcPr>
            <w:tcW w:type="dxa" w:w="960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top w:w="30" w:type="dxa"/>
              <w:start w:w="70" w:type="dxa"/>
              <w:bottom w:w="45" w:type="dxa"/>
              <w:end w:w="0" w:type="dxa"/>
            </w:tcMar>
          </w:tcPr>
          <w:p>
            <w:pPr>
              <w:spacing w:before="0" w:after="20" w:line="247" w:lineRule="auto"/>
            </w:pPr>
            <w:r>
              <w:rPr>
                <w:rFonts w:ascii="Aptos" w:hAnsi="Aptos" w:eastAsia="Microsoft YaHei"/>
                <w:b/>
                <w:color w:val="17365D"/>
                <w:sz w:val="18"/>
              </w:rPr>
              <w:t>推动 AI 复盘报告产品落地，显著提升管理复盘效率</w:t>
            </w:r>
          </w:p>
          <w:p>
            <w:pPr>
              <w:spacing w:before="0" w:after="24" w:line="245" w:lineRule="auto"/>
            </w:pPr>
            <w:r>
              <w:rPr>
                <w:rFonts w:ascii="Aptos" w:hAnsi="Aptos" w:eastAsia="Microsoft YaHei"/>
                <w:color w:val="222222"/>
                <w:sz w:val="17"/>
              </w:rPr>
              <w:t>推动履职复盘报告与风险复盘报告产品落地，结合 多模态模型分析、LLM 推理、MCP 与 Workflow 编排，实现对现场资料、风险事件、执行记录和管理要求的智能分析与报告生成，将报告生成周期由 7-10 天缩短至 2 天。该能力降低检查 / 复核类岗位的重复性人力投入，提升问题追踪、管理复盘和客户汇报效率，并成为迈瑞医疗、万达商管等重要客户签约和方案价值表达的重要抓手。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61"/>
        <w:gridCol w:w="5261"/>
      </w:tblGrid>
      <w:tr>
        <w:tc>
          <w:tcPr>
            <w:tcW w:type="dxa" w:w="351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nil"/>
              <w:insideV w:val="nil"/>
            </w:tcBorders>
            <w:vAlign w:val="top"/>
            <w:tcMar>
              <w:top w:w="55" w:type="dxa"/>
              <w:start w:w="25" w:type="dxa"/>
              <w:bottom w:w="35" w:type="dxa"/>
              <w:end w:w="25" w:type="dxa"/>
            </w:tcMar>
            <w:shd w:fill="1F4E79"/>
          </w:tcPr>
          <w:p>
            <w:pPr>
              <w:spacing w:before="0" w:after="0" w:line="247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6</w:t>
            </w:r>
          </w:p>
        </w:tc>
        <w:tc>
          <w:tcPr>
            <w:tcW w:type="dxa" w:w="960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top w:w="30" w:type="dxa"/>
              <w:start w:w="70" w:type="dxa"/>
              <w:bottom w:w="45" w:type="dxa"/>
              <w:end w:w="0" w:type="dxa"/>
            </w:tcMar>
          </w:tcPr>
          <w:p>
            <w:pPr>
              <w:spacing w:before="0" w:after="20" w:line="247" w:lineRule="auto"/>
            </w:pPr>
            <w:r>
              <w:rPr>
                <w:rFonts w:ascii="Aptos" w:hAnsi="Aptos" w:eastAsia="Microsoft YaHei"/>
                <w:b/>
                <w:color w:val="17365D"/>
                <w:sz w:val="18"/>
              </w:rPr>
              <w:t>交付 FM 执行平台，支撑现场作业移动化、标准化和可追踪</w:t>
            </w:r>
          </w:p>
          <w:p>
            <w:pPr>
              <w:spacing w:before="0" w:after="24" w:line="245" w:lineRule="auto"/>
            </w:pPr>
            <w:r>
              <w:rPr>
                <w:rFonts w:ascii="Aptos" w:hAnsi="Aptos" w:eastAsia="Microsoft YaHei"/>
                <w:color w:val="222222"/>
                <w:sz w:val="17"/>
              </w:rPr>
              <w:t>面向执行类客户角色交付 FM 执行平台，覆盖预防性策略执行、应急响应处理、报事报修响应及执行、风险事件排查诊断及维修、领料 / 退料申请、专项施工改造等移动端业务功能，支撑现场执行人员完成标准化、可追踪的设施运维作业，使管理侧的策略、计划、风险要求和现场执行动作形成闭环。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61"/>
        <w:gridCol w:w="5261"/>
      </w:tblGrid>
      <w:tr>
        <w:tc>
          <w:tcPr>
            <w:tcW w:type="dxa" w:w="351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nil"/>
              <w:insideV w:val="nil"/>
            </w:tcBorders>
            <w:vAlign w:val="top"/>
            <w:tcMar>
              <w:top w:w="55" w:type="dxa"/>
              <w:start w:w="25" w:type="dxa"/>
              <w:bottom w:w="35" w:type="dxa"/>
              <w:end w:w="25" w:type="dxa"/>
            </w:tcMar>
            <w:shd w:fill="1F4E79"/>
          </w:tcPr>
          <w:p>
            <w:pPr>
              <w:spacing w:before="0" w:after="0" w:line="247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7</w:t>
            </w:r>
          </w:p>
        </w:tc>
        <w:tc>
          <w:tcPr>
            <w:tcW w:type="dxa" w:w="960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top w:w="30" w:type="dxa"/>
              <w:start w:w="70" w:type="dxa"/>
              <w:bottom w:w="45" w:type="dxa"/>
              <w:end w:w="0" w:type="dxa"/>
            </w:tcMar>
          </w:tcPr>
          <w:p>
            <w:pPr>
              <w:spacing w:before="0" w:after="20" w:line="247" w:lineRule="auto"/>
            </w:pPr>
            <w:r>
              <w:rPr>
                <w:rFonts w:ascii="Aptos" w:hAnsi="Aptos" w:eastAsia="Microsoft YaHei"/>
                <w:b/>
                <w:color w:val="17365D"/>
                <w:sz w:val="18"/>
              </w:rPr>
              <w:t>推动产品在多类型客户场景落地，完成规模化业务验证</w:t>
            </w:r>
          </w:p>
          <w:p>
            <w:pPr>
              <w:spacing w:before="0" w:after="24" w:line="245" w:lineRule="auto"/>
            </w:pPr>
            <w:r>
              <w:rPr>
                <w:rFonts w:ascii="Aptos" w:hAnsi="Aptos" w:eastAsia="Microsoft YaHei"/>
                <w:color w:val="222222"/>
                <w:sz w:val="17"/>
              </w:rPr>
              <w:t>产品已在医疗制造、商业地产、产业园区、写字楼、厂区等多类 B 端场景落地或试运行：</w:t>
            </w:r>
          </w:p>
          <w:p>
            <w:pPr>
              <w:spacing w:before="0" w:after="24" w:line="245" w:lineRule="auto"/>
            </w:pPr>
            <w:r>
              <w:rPr>
                <w:rFonts w:ascii="Aptos" w:hAnsi="Aptos" w:eastAsia="Microsoft YaHei"/>
                <w:color w:val="222222"/>
                <w:sz w:val="17"/>
              </w:rPr>
              <w:t>迈瑞医疗覆盖 2 个写字楼、3 个厂区，支撑每月 1 万+工单、12 位管理角色、120+执行角色；</w:t>
            </w:r>
          </w:p>
          <w:p>
            <w:pPr>
              <w:spacing w:before="0" w:after="24" w:line="245" w:lineRule="auto"/>
            </w:pPr>
            <w:r>
              <w:rPr>
                <w:rFonts w:ascii="Aptos" w:hAnsi="Aptos" w:eastAsia="Microsoft YaHei"/>
                <w:color w:val="222222"/>
                <w:sz w:val="17"/>
              </w:rPr>
              <w:t>福州正祥集团覆盖 10 个项目，包括 1 个酒店、1 个旅游产业园区、2 个写字楼和 6 个商业地产，支撑每月4000+工单、6 位管理角色、80+执行角色；</w:t>
            </w:r>
          </w:p>
          <w:p>
            <w:pPr>
              <w:spacing w:before="0" w:after="24" w:line="245" w:lineRule="auto"/>
            </w:pPr>
            <w:r>
              <w:rPr>
                <w:rFonts w:ascii="Aptos" w:hAnsi="Aptos" w:eastAsia="Microsoft YaHei"/>
                <w:color w:val="222222"/>
                <w:sz w:val="17"/>
              </w:rPr>
              <w:t>万达商管集团全国100+项目处于试运行 / 推广期；</w:t>
            </w:r>
          </w:p>
          <w:p>
            <w:pPr>
              <w:spacing w:before="0" w:after="24" w:line="245" w:lineRule="auto"/>
            </w:pPr>
            <w:r>
              <w:rPr>
                <w:rFonts w:ascii="Aptos" w:hAnsi="Aptos" w:eastAsia="Microsoft YaHei"/>
                <w:color w:val="222222"/>
                <w:sz w:val="17"/>
              </w:rPr>
              <w:t>其余客户包括隆基绿能 1 个厂区、爱旭国际 2 个厂区、中远海运 2 个写字楼、宁德时代 1 个厂区等。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61"/>
        <w:gridCol w:w="5261"/>
      </w:tblGrid>
      <w:tr>
        <w:tc>
          <w:tcPr>
            <w:tcW w:type="dxa" w:w="351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nil"/>
              <w:insideV w:val="nil"/>
            </w:tcBorders>
            <w:vAlign w:val="top"/>
            <w:tcMar>
              <w:top w:w="55" w:type="dxa"/>
              <w:start w:w="25" w:type="dxa"/>
              <w:bottom w:w="35" w:type="dxa"/>
              <w:end w:w="25" w:type="dxa"/>
            </w:tcMar>
            <w:shd w:fill="1F4E79"/>
          </w:tcPr>
          <w:p>
            <w:pPr>
              <w:spacing w:before="0" w:after="0" w:line="247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8</w:t>
            </w:r>
          </w:p>
        </w:tc>
        <w:tc>
          <w:tcPr>
            <w:tcW w:type="dxa" w:w="960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top w:w="30" w:type="dxa"/>
              <w:start w:w="70" w:type="dxa"/>
              <w:bottom w:w="45" w:type="dxa"/>
              <w:end w:w="0" w:type="dxa"/>
            </w:tcMar>
          </w:tcPr>
          <w:p>
            <w:pPr>
              <w:spacing w:before="0" w:after="20" w:line="247" w:lineRule="auto"/>
            </w:pPr>
            <w:r>
              <w:rPr>
                <w:rFonts w:ascii="Aptos" w:hAnsi="Aptos" w:eastAsia="Microsoft YaHei"/>
                <w:b/>
                <w:color w:val="17365D"/>
                <w:sz w:val="18"/>
              </w:rPr>
              <w:t>交付 Agent-ARCOS 智能全域资源调度与产能治理平台，验证 Agent 在托管业务中的决策支持价值</w:t>
            </w:r>
          </w:p>
          <w:p>
            <w:pPr>
              <w:spacing w:before="0" w:after="24" w:line="245" w:lineRule="auto"/>
            </w:pPr>
            <w:r>
              <w:rPr>
                <w:rFonts w:ascii="Aptos" w:hAnsi="Aptos" w:eastAsia="Microsoft YaHei"/>
                <w:color w:val="222222"/>
                <w:sz w:val="17"/>
              </w:rPr>
              <w:t>面向托管类客户及托管业务执行团队交付 Agent-ARCOS 智能全域资源调度与产能治理平台，支持项目常驻资源调度、区域共享资源调度、第三方外委资源调度等场景，调度对象覆盖人员与物资。平台为托管业务执行团队提供业务冷启动策略、任务执行方案、资源调度策略和 Agent 运行监测能力，并通过工单交转率、申请加人率等指标监控 Agent 运行质量。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61"/>
        <w:gridCol w:w="5261"/>
      </w:tblGrid>
      <w:tr>
        <w:tc>
          <w:tcPr>
            <w:tcW w:type="dxa" w:w="351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nil"/>
              <w:insideV w:val="nil"/>
            </w:tcBorders>
            <w:vAlign w:val="top"/>
            <w:tcMar>
              <w:top w:w="55" w:type="dxa"/>
              <w:start w:w="25" w:type="dxa"/>
              <w:bottom w:w="35" w:type="dxa"/>
              <w:end w:w="25" w:type="dxa"/>
            </w:tcMar>
            <w:shd w:fill="1F4E79"/>
          </w:tcPr>
          <w:p>
            <w:pPr>
              <w:spacing w:before="0" w:after="0" w:line="247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9</w:t>
            </w:r>
          </w:p>
        </w:tc>
        <w:tc>
          <w:tcPr>
            <w:tcW w:type="dxa" w:w="960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top w:w="30" w:type="dxa"/>
              <w:start w:w="70" w:type="dxa"/>
              <w:bottom w:w="45" w:type="dxa"/>
              <w:end w:w="0" w:type="dxa"/>
            </w:tcMar>
          </w:tcPr>
          <w:p>
            <w:pPr>
              <w:spacing w:before="0" w:after="20" w:line="247" w:lineRule="auto"/>
            </w:pPr>
            <w:r>
              <w:rPr>
                <w:rFonts w:ascii="Aptos" w:hAnsi="Aptos" w:eastAsia="Microsoft YaHei"/>
                <w:b/>
                <w:color w:val="17365D"/>
                <w:sz w:val="18"/>
              </w:rPr>
              <w:t>完成 Agent-ARCOS 试点验证，降低工单阻塞率并提升调度建议采纳率</w:t>
            </w:r>
          </w:p>
          <w:p>
            <w:pPr>
              <w:spacing w:before="0" w:after="24" w:line="245" w:lineRule="auto"/>
            </w:pPr>
            <w:r>
              <w:rPr>
                <w:rFonts w:ascii="Aptos" w:hAnsi="Aptos" w:eastAsia="Microsoft YaHei"/>
                <w:color w:val="222222"/>
                <w:sz w:val="17"/>
              </w:rPr>
              <w:t>Agent-ARCOS 已在北京地区万达广场、福州正祥所有项目完成试点验证，平台调度建议采纳率达到 95%，工单阻塞率由 30%下降至 1%。经业务验证，平台能够有效承接部分主管 / 经理在任务编排、资源分派、执行监控和产能判断中的决策支持职能，提升托管业务在复杂资源约束下的调度稳定性和执行效率。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61"/>
        <w:gridCol w:w="5261"/>
      </w:tblGrid>
      <w:tr>
        <w:tc>
          <w:tcPr>
            <w:tcW w:type="dxa" w:w="351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nil"/>
              <w:insideV w:val="nil"/>
            </w:tcBorders>
            <w:vAlign w:val="top"/>
            <w:tcMar>
              <w:top w:w="55" w:type="dxa"/>
              <w:start w:w="25" w:type="dxa"/>
              <w:bottom w:w="35" w:type="dxa"/>
              <w:end w:w="25" w:type="dxa"/>
            </w:tcMar>
            <w:shd w:fill="1F4E79"/>
          </w:tcPr>
          <w:p>
            <w:pPr>
              <w:spacing w:before="0" w:after="0" w:line="247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10</w:t>
            </w:r>
          </w:p>
        </w:tc>
        <w:tc>
          <w:tcPr>
            <w:tcW w:type="dxa" w:w="960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top w:w="30" w:type="dxa"/>
              <w:start w:w="70" w:type="dxa"/>
              <w:bottom w:w="45" w:type="dxa"/>
              <w:end w:w="0" w:type="dxa"/>
            </w:tcMar>
          </w:tcPr>
          <w:p>
            <w:pPr>
              <w:spacing w:before="0" w:after="20" w:line="247" w:lineRule="auto"/>
            </w:pPr>
            <w:r>
              <w:rPr>
                <w:rFonts w:ascii="Aptos" w:hAnsi="Aptos" w:eastAsia="Microsoft YaHei"/>
                <w:b/>
                <w:color w:val="17365D"/>
                <w:sz w:val="18"/>
              </w:rPr>
              <w:t>面向高层提供调度策略模拟与产能治理建议</w:t>
            </w:r>
          </w:p>
          <w:p>
            <w:pPr>
              <w:spacing w:before="0" w:after="24" w:line="245" w:lineRule="auto"/>
            </w:pPr>
            <w:r>
              <w:rPr>
                <w:rFonts w:ascii="Aptos" w:hAnsi="Aptos" w:eastAsia="Microsoft YaHei"/>
                <w:color w:val="222222"/>
                <w:sz w:val="17"/>
              </w:rPr>
              <w:t>基于 Agent-ARCOS 平台，面向 CEO、CTO、托管业务负责人提供调度策略模拟、资源负荷分析和产能治理建议，辅助公司判断不同客户、不同项目、不同资源组织方式下的服务能力边界、资源投入策略和托管业务扩展空间，使调度产品不仅服务一线执行，也服务公司级经营管理决策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61"/>
        <w:gridCol w:w="5261"/>
      </w:tblGrid>
      <w:tr>
        <w:tc>
          <w:tcPr>
            <w:tcW w:type="dxa" w:w="351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nil"/>
              <w:insideV w:val="nil"/>
            </w:tcBorders>
            <w:vAlign w:val="top"/>
            <w:tcMar>
              <w:top w:w="55" w:type="dxa"/>
              <w:start w:w="25" w:type="dxa"/>
              <w:bottom w:w="35" w:type="dxa"/>
              <w:end w:w="25" w:type="dxa"/>
            </w:tcMar>
            <w:shd w:fill="1F4E79"/>
          </w:tcPr>
          <w:p>
            <w:pPr>
              <w:spacing w:before="0" w:after="0" w:line="247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11</w:t>
            </w:r>
          </w:p>
        </w:tc>
        <w:tc>
          <w:tcPr>
            <w:tcW w:type="dxa" w:w="960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top w:w="30" w:type="dxa"/>
              <w:start w:w="70" w:type="dxa"/>
              <w:bottom w:w="45" w:type="dxa"/>
              <w:end w:w="0" w:type="dxa"/>
            </w:tcMar>
          </w:tcPr>
          <w:p>
            <w:pPr>
              <w:spacing w:before="0" w:after="20" w:line="247" w:lineRule="auto"/>
            </w:pPr>
            <w:r>
              <w:rPr>
                <w:rFonts w:ascii="Aptos" w:hAnsi="Aptos" w:eastAsia="Microsoft YaHei"/>
                <w:b/>
                <w:color w:val="17365D"/>
                <w:sz w:val="18"/>
              </w:rPr>
              <w:t>沉淀适配公司业务场景的 AI 产品设计方法</w:t>
            </w:r>
          </w:p>
          <w:p>
            <w:pPr>
              <w:spacing w:before="0" w:after="24" w:line="245" w:lineRule="auto"/>
            </w:pPr>
            <w:r>
              <w:rPr>
                <w:rFonts w:ascii="Aptos" w:hAnsi="Aptos" w:eastAsia="Microsoft YaHei"/>
                <w:color w:val="222222"/>
                <w:sz w:val="17"/>
              </w:rPr>
              <w:t>面向产品团队和研发团队输出适配公司业务特性的 AI 产品设计方法，包括 AI 产品定位、业务数据对照组构建、灰度测试策略、Agent 运行监测、AI 交互设计规范、前端原型生成与产品评估方法，推动团队在 B 端 AI 应用产品设计、验证和落地过程中形成统一方法，提高产品、研发和业务团队的协同效率。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7"/>
        <w:gridCol w:w="3507"/>
        <w:gridCol w:w="3507"/>
      </w:tblGrid>
      <w:tr>
        <w:tc>
          <w:tcPr>
            <w:tcW w:type="dxa" w:w="4139"/>
            <w:vAlign w:val="center"/>
            <w:shd w:fill="EAF2F8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6" w:color="D9E2EA"/>
              <w:bottom w:val="single" w:sz="6" w:color="D9E2EA"/>
              <w:left w:val="nil"/>
              <w:right w:val="nil"/>
            </w:tcBorders>
          </w:tcPr>
          <w:p>
            <w:pPr>
              <w:spacing w:before="0" w:after="0" w:line="247" w:lineRule="auto"/>
            </w:pPr>
            <w:r>
              <w:rPr>
                <w:rFonts w:ascii="Aptos" w:hAnsi="Aptos" w:eastAsia="Microsoft YaHei"/>
                <w:b/>
                <w:color w:val="17365D"/>
                <w:sz w:val="18"/>
              </w:rPr>
              <w:t>阿里巴巴本地生活集团</w:t>
            </w:r>
          </w:p>
        </w:tc>
        <w:tc>
          <w:tcPr>
            <w:tcW w:type="dxa" w:w="3458"/>
            <w:vAlign w:val="center"/>
            <w:shd w:fill="EAF2F8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6" w:color="D9E2EA"/>
              <w:bottom w:val="single" w:sz="6" w:color="D9E2EA"/>
              <w:left w:val="nil"/>
              <w:right w:val="nil"/>
            </w:tcBorders>
          </w:tcPr>
          <w:p>
            <w:pPr>
              <w:spacing w:before="0" w:after="0" w:line="247" w:lineRule="auto"/>
            </w:pPr>
            <w:r>
              <w:rPr>
                <w:rFonts w:ascii="Aptos" w:hAnsi="Aptos" w:eastAsia="Microsoft YaHei"/>
                <w:b/>
                <w:color w:val="4D4D4D"/>
                <w:sz w:val="17"/>
              </w:rPr>
              <w:t>产研中心PaaS产品群</w:t>
            </w:r>
          </w:p>
        </w:tc>
        <w:tc>
          <w:tcPr>
            <w:tcW w:type="dxa" w:w="2381"/>
            <w:vAlign w:val="center"/>
            <w:shd w:fill="EAF2F8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6" w:color="D9E2EA"/>
              <w:bottom w:val="single" w:sz="6" w:color="D9E2EA"/>
              <w:left w:val="nil"/>
              <w:right w:val="nil"/>
            </w:tcBorders>
          </w:tcPr>
          <w:p>
            <w:pPr>
              <w:spacing w:before="0" w:after="0" w:line="247" w:lineRule="auto"/>
              <w:jc w:val="right"/>
            </w:pPr>
            <w:r>
              <w:rPr>
                <w:rFonts w:ascii="Aptos" w:hAnsi="Aptos" w:eastAsia="Microsoft YaHei"/>
                <w:b/>
                <w:color w:val="4D4D4D"/>
                <w:sz w:val="17"/>
              </w:rPr>
              <w:t>2019.08-2021.02</w:t>
            </w:r>
          </w:p>
        </w:tc>
      </w:tr>
    </w:tbl>
    <w:p>
      <w:pPr>
        <w:spacing w:before="0" w:after="36" w:line="247" w:lineRule="auto"/>
        <w:ind w:left="142" w:hanging="102"/>
      </w:pPr>
      <w:r>
        <w:rPr>
          <w:rFonts w:ascii="Aptos" w:hAnsi="Aptos" w:eastAsia="Microsoft YaHei"/>
          <w:b/>
          <w:color w:val="1F4E79"/>
          <w:sz w:val="17"/>
        </w:rPr>
        <w:t xml:space="preserve">• </w:t>
      </w:r>
      <w:r>
        <w:rPr>
          <w:rFonts w:ascii="Aptos" w:hAnsi="Aptos" w:eastAsia="Microsoft YaHei"/>
          <w:color w:val="222222"/>
          <w:sz w:val="17"/>
        </w:rPr>
        <w:t>负责商户域、账号域、权限域、角色域等 PaaS 底层能力 的产品规划与管理，覆盖商户授权、角色权限、短信触达、商户运营 SaaS 等能力，为多业务线提供统一、稳定、可复用的平台能力支撑。</w:t>
      </w:r>
    </w:p>
    <w:p>
      <w:pPr>
        <w:spacing w:before="0" w:after="36" w:line="247" w:lineRule="auto"/>
        <w:ind w:left="142" w:hanging="102"/>
      </w:pPr>
      <w:r>
        <w:rPr>
          <w:rFonts w:ascii="Aptos" w:hAnsi="Aptos" w:eastAsia="Microsoft YaHei"/>
          <w:b/>
          <w:color w:val="1F4E79"/>
          <w:sz w:val="17"/>
        </w:rPr>
        <w:t xml:space="preserve">• </w:t>
      </w:r>
      <w:r>
        <w:rPr>
          <w:rFonts w:ascii="Aptos" w:hAnsi="Aptos" w:eastAsia="Microsoft YaHei"/>
          <w:color w:val="222222"/>
          <w:sz w:val="17"/>
        </w:rPr>
        <w:t>支撑口碑融合等大型项目，完成商户体系、账号体系、权限体系、角色体系及运营链路的底层能力建设与稳定性保障，保障跨业务系统融合、迁移和运营链路稳定运行。</w:t>
      </w:r>
    </w:p>
    <w:p>
      <w:pPr>
        <w:spacing w:before="0" w:after="36" w:line="247" w:lineRule="auto"/>
        <w:ind w:left="142" w:hanging="102"/>
      </w:pPr>
      <w:r>
        <w:rPr>
          <w:rFonts w:ascii="Aptos" w:hAnsi="Aptos" w:eastAsia="Microsoft YaHei"/>
          <w:b/>
          <w:color w:val="1F4E79"/>
          <w:sz w:val="17"/>
        </w:rPr>
        <w:t xml:space="preserve">• </w:t>
      </w:r>
      <w:r>
        <w:rPr>
          <w:rFonts w:ascii="Aptos" w:hAnsi="Aptos" w:eastAsia="Microsoft YaHei"/>
          <w:color w:val="222222"/>
          <w:sz w:val="17"/>
        </w:rPr>
        <w:t>担任团队 Scrum Master，协同管理 2 个敏捷团队，推动需求拆解、研发节奏、跨团队协同、风险跟踪和迭代交付；推动 PaaS-S、PaaS 两个团队在公司 15 个敏捷团队排名中分别由第 14、第 15 提升至第 2、第 5。</w:t>
      </w:r>
    </w:p>
    <w:p>
      <w:pPr>
        <w:spacing w:before="0" w:after="36" w:line="247" w:lineRule="auto"/>
        <w:ind w:left="142" w:hanging="102"/>
      </w:pPr>
      <w:r>
        <w:rPr>
          <w:rFonts w:ascii="Aptos" w:hAnsi="Aptos" w:eastAsia="Microsoft YaHei"/>
          <w:b/>
          <w:color w:val="1F4E79"/>
          <w:sz w:val="17"/>
        </w:rPr>
        <w:t xml:space="preserve">• </w:t>
      </w:r>
      <w:r>
        <w:rPr>
          <w:rFonts w:ascii="Aptos" w:hAnsi="Aptos" w:eastAsia="Microsoft YaHei"/>
          <w:color w:val="222222"/>
          <w:sz w:val="17"/>
        </w:rPr>
        <w:t>推动平台能力 SLA 达到 99.9%，提升底层系统稳定性、业务连续性和多业务线支撑能力。</w:t>
      </w:r>
    </w:p>
    <w:p>
      <w:pPr>
        <w:spacing w:before="0" w:after="36" w:line="247" w:lineRule="auto"/>
        <w:ind w:left="142" w:hanging="102"/>
      </w:pPr>
      <w:r>
        <w:rPr>
          <w:rFonts w:ascii="Aptos" w:hAnsi="Aptos" w:eastAsia="Microsoft YaHei"/>
          <w:b/>
          <w:color w:val="1F4E79"/>
          <w:sz w:val="17"/>
        </w:rPr>
        <w:t xml:space="preserve">• </w:t>
      </w:r>
      <w:r>
        <w:rPr>
          <w:rFonts w:ascii="Aptos" w:hAnsi="Aptos" w:eastAsia="Microsoft YaHei"/>
          <w:color w:val="222222"/>
          <w:sz w:val="17"/>
        </w:rPr>
        <w:t>面向客服与运营服务场景建设平台化工具，为客服团队每月节省人效成本 77 万；为运营服务团队搭建运营工作平台，并针对连锁经营管理场景输出全流程产品解决方案。</w:t>
      </w:r>
    </w:p>
    <w:p>
      <w:pPr>
        <w:spacing w:before="0" w:after="36" w:line="247" w:lineRule="auto"/>
        <w:ind w:left="142" w:hanging="102"/>
      </w:pPr>
      <w:r>
        <w:rPr>
          <w:rFonts w:ascii="Aptos" w:hAnsi="Aptos" w:eastAsia="Microsoft YaHei"/>
          <w:b/>
          <w:color w:val="1F4E79"/>
          <w:sz w:val="17"/>
        </w:rPr>
        <w:t xml:space="preserve">• </w:t>
      </w:r>
      <w:r>
        <w:rPr>
          <w:rFonts w:ascii="Aptos" w:hAnsi="Aptos" w:eastAsia="Microsoft YaHei"/>
          <w:color w:val="222222"/>
          <w:sz w:val="17"/>
        </w:rPr>
        <w:t>2019 财年绩效 3.75，并获评 “明日之星”。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7"/>
        <w:gridCol w:w="3507"/>
        <w:gridCol w:w="3507"/>
      </w:tblGrid>
      <w:tr>
        <w:tc>
          <w:tcPr>
            <w:tcW w:type="dxa" w:w="4139"/>
            <w:vAlign w:val="center"/>
            <w:shd w:fill="EAF2F8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6" w:color="D9E2EA"/>
              <w:bottom w:val="single" w:sz="6" w:color="D9E2EA"/>
              <w:left w:val="nil"/>
              <w:right w:val="nil"/>
            </w:tcBorders>
          </w:tcPr>
          <w:p>
            <w:pPr>
              <w:spacing w:before="0" w:after="0" w:line="247" w:lineRule="auto"/>
            </w:pPr>
            <w:r>
              <w:rPr>
                <w:rFonts w:ascii="Aptos" w:hAnsi="Aptos" w:eastAsia="Microsoft YaHei"/>
                <w:b/>
                <w:color w:val="17365D"/>
                <w:sz w:val="18"/>
              </w:rPr>
              <w:t>成都镁克孵化器 / 四川兑商宝 / 住梦网络</w:t>
            </w:r>
          </w:p>
        </w:tc>
        <w:tc>
          <w:tcPr>
            <w:tcW w:type="dxa" w:w="3458"/>
            <w:vAlign w:val="center"/>
            <w:shd w:fill="EAF2F8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6" w:color="D9E2EA"/>
              <w:bottom w:val="single" w:sz="6" w:color="D9E2EA"/>
              <w:left w:val="nil"/>
              <w:right w:val="nil"/>
            </w:tcBorders>
          </w:tcPr>
          <w:p>
            <w:pPr>
              <w:spacing w:before="0" w:after="0" w:line="247" w:lineRule="auto"/>
            </w:pPr>
            <w:r>
              <w:rPr>
                <w:rFonts w:ascii="Aptos" w:hAnsi="Aptos" w:eastAsia="Microsoft YaHei"/>
                <w:b/>
                <w:color w:val="4D4D4D"/>
                <w:sz w:val="17"/>
              </w:rPr>
              <w:t>产品经理</w:t>
            </w:r>
          </w:p>
        </w:tc>
        <w:tc>
          <w:tcPr>
            <w:tcW w:type="dxa" w:w="2381"/>
            <w:vAlign w:val="center"/>
            <w:shd w:fill="EAF2F8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6" w:color="D9E2EA"/>
              <w:bottom w:val="single" w:sz="6" w:color="D9E2EA"/>
              <w:left w:val="nil"/>
              <w:right w:val="nil"/>
            </w:tcBorders>
          </w:tcPr>
          <w:p>
            <w:pPr>
              <w:spacing w:before="0" w:after="0" w:line="247" w:lineRule="auto"/>
              <w:jc w:val="right"/>
            </w:pPr>
            <w:r>
              <w:rPr>
                <w:rFonts w:ascii="Aptos" w:hAnsi="Aptos" w:eastAsia="Microsoft YaHei"/>
                <w:b/>
                <w:color w:val="4D4D4D"/>
                <w:sz w:val="17"/>
              </w:rPr>
              <w:t>2016.08-2019.08</w:t>
            </w:r>
          </w:p>
        </w:tc>
      </w:tr>
    </w:tbl>
    <w:p>
      <w:pPr>
        <w:spacing w:before="0" w:after="36" w:line="247" w:lineRule="auto"/>
        <w:ind w:left="142" w:hanging="102"/>
      </w:pPr>
      <w:r>
        <w:rPr>
          <w:rFonts w:ascii="Aptos" w:hAnsi="Aptos" w:eastAsia="Microsoft YaHei"/>
          <w:b/>
          <w:color w:val="1F4E79"/>
          <w:sz w:val="17"/>
        </w:rPr>
        <w:t xml:space="preserve">• </w:t>
      </w:r>
      <w:r>
        <w:rPr>
          <w:rFonts w:ascii="Aptos" w:hAnsi="Aptos" w:eastAsia="Microsoft YaHei"/>
          <w:color w:val="222222"/>
          <w:sz w:val="17"/>
        </w:rPr>
        <w:t>负责景区运营、电商/O2O、商家中台、财务系统、会员系统、Web后台、小程序、APP等产品规划与落地，将商业模式拆解为产品模块、业务流程、PRD、原型和迭代计划。</w:t>
      </w:r>
    </w:p>
    <w:p>
      <w:pPr>
        <w:spacing w:before="0" w:after="36" w:line="247" w:lineRule="auto"/>
        <w:ind w:left="142" w:hanging="102"/>
      </w:pPr>
      <w:r>
        <w:rPr>
          <w:rFonts w:ascii="Aptos" w:hAnsi="Aptos" w:eastAsia="Microsoft YaHei"/>
          <w:b/>
          <w:color w:val="1F4E79"/>
          <w:sz w:val="17"/>
        </w:rPr>
        <w:t xml:space="preserve">• </w:t>
      </w:r>
      <w:r>
        <w:rPr>
          <w:rFonts w:ascii="Aptos" w:hAnsi="Aptos" w:eastAsia="Microsoft YaHei"/>
          <w:color w:val="222222"/>
          <w:sz w:val="17"/>
        </w:rPr>
        <w:t>在住梦网络担任产品总监期间，带领团队重构新版产品架构、业务边界、产品流程和产品逻辑，建立产品文档规范、视觉设计规范、产品评审机制和团队协同流程。</w:t>
      </w:r>
    </w:p>
    <w:p>
      <w:pPr>
        <w:spacing w:before="0" w:after="36" w:line="247" w:lineRule="auto"/>
        <w:ind w:left="142" w:hanging="102"/>
      </w:pPr>
      <w:r>
        <w:rPr>
          <w:rFonts w:ascii="Aptos" w:hAnsi="Aptos" w:eastAsia="Microsoft YaHei"/>
          <w:b/>
          <w:color w:val="1F4E79"/>
          <w:sz w:val="17"/>
        </w:rPr>
        <w:t xml:space="preserve">• </w:t>
      </w:r>
      <w:r>
        <w:rPr>
          <w:rFonts w:ascii="Aptos" w:hAnsi="Aptos" w:eastAsia="Microsoft YaHei"/>
          <w:color w:val="222222"/>
          <w:sz w:val="17"/>
        </w:rPr>
        <w:t>组建产品设计、视觉设计、前/后端工程、用户运营、内容运营等复合团队，制定产品实习生、产品助理、产品经理的考核属性与晋升标准。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7"/>
        <w:gridCol w:w="3507"/>
        <w:gridCol w:w="3507"/>
      </w:tblGrid>
      <w:tr>
        <w:tc>
          <w:tcPr>
            <w:tcW w:type="dxa" w:w="4139"/>
            <w:vAlign w:val="center"/>
            <w:shd w:fill="EAF2F8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6" w:color="D9E2EA"/>
              <w:bottom w:val="single" w:sz="6" w:color="D9E2EA"/>
              <w:left w:val="nil"/>
              <w:right w:val="nil"/>
            </w:tcBorders>
          </w:tcPr>
          <w:p>
            <w:pPr>
              <w:spacing w:before="0" w:after="0" w:line="247" w:lineRule="auto"/>
            </w:pPr>
            <w:r>
              <w:rPr>
                <w:rFonts w:ascii="Aptos" w:hAnsi="Aptos" w:eastAsia="Microsoft YaHei"/>
                <w:b/>
                <w:color w:val="17365D"/>
                <w:sz w:val="18"/>
              </w:rPr>
              <w:t>国家电网产业集团中电启明星信息技术有限公司</w:t>
            </w:r>
          </w:p>
        </w:tc>
        <w:tc>
          <w:tcPr>
            <w:tcW w:type="dxa" w:w="3458"/>
            <w:vAlign w:val="center"/>
            <w:shd w:fill="EAF2F8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6" w:color="D9E2EA"/>
              <w:bottom w:val="single" w:sz="6" w:color="D9E2EA"/>
              <w:left w:val="nil"/>
              <w:right w:val="nil"/>
            </w:tcBorders>
          </w:tcPr>
          <w:p>
            <w:pPr>
              <w:spacing w:before="0" w:after="0" w:line="247" w:lineRule="auto"/>
            </w:pPr>
            <w:r>
              <w:rPr>
                <w:rFonts w:ascii="Aptos" w:hAnsi="Aptos" w:eastAsia="Microsoft YaHei"/>
                <w:b/>
                <w:color w:val="4D4D4D"/>
                <w:sz w:val="17"/>
              </w:rPr>
              <w:t>产品经理</w:t>
            </w:r>
          </w:p>
        </w:tc>
        <w:tc>
          <w:tcPr>
            <w:tcW w:type="dxa" w:w="2381"/>
            <w:vAlign w:val="center"/>
            <w:shd w:fill="EAF2F8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6" w:color="D9E2EA"/>
              <w:bottom w:val="single" w:sz="6" w:color="D9E2EA"/>
              <w:left w:val="nil"/>
              <w:right w:val="nil"/>
            </w:tcBorders>
          </w:tcPr>
          <w:p>
            <w:pPr>
              <w:spacing w:before="0" w:after="0" w:line="247" w:lineRule="auto"/>
              <w:jc w:val="right"/>
            </w:pPr>
            <w:r>
              <w:rPr>
                <w:rFonts w:ascii="Aptos" w:hAnsi="Aptos" w:eastAsia="Microsoft YaHei"/>
                <w:b/>
                <w:color w:val="4D4D4D"/>
                <w:sz w:val="17"/>
              </w:rPr>
              <w:t>2015.08-2016.08</w:t>
            </w:r>
          </w:p>
        </w:tc>
      </w:tr>
    </w:tbl>
    <w:p>
      <w:pPr>
        <w:spacing w:before="0" w:after="36" w:line="247" w:lineRule="auto"/>
        <w:ind w:left="142" w:hanging="102"/>
      </w:pPr>
      <w:r>
        <w:rPr>
          <w:rFonts w:ascii="Aptos" w:hAnsi="Aptos" w:eastAsia="Microsoft YaHei"/>
          <w:b/>
          <w:color w:val="1F4E79"/>
          <w:sz w:val="17"/>
        </w:rPr>
        <w:t xml:space="preserve">• </w:t>
      </w:r>
      <w:r>
        <w:rPr>
          <w:rFonts w:ascii="Aptos" w:hAnsi="Aptos" w:eastAsia="Microsoft YaHei"/>
          <w:color w:val="222222"/>
          <w:sz w:val="17"/>
        </w:rPr>
        <w:t>负责国网电商、国网物资调配平台需求管理与售前支持，完成甲方需求调研、需求文档、原型图、PRD输出及研发对接。</w:t>
      </w:r>
    </w:p>
    <w:p>
      <w:pPr>
        <w:spacing w:before="0" w:after="36" w:line="247" w:lineRule="auto"/>
        <w:ind w:left="142" w:hanging="102"/>
      </w:pPr>
      <w:r>
        <w:rPr>
          <w:rFonts w:ascii="Aptos" w:hAnsi="Aptos" w:eastAsia="Microsoft YaHei"/>
          <w:b/>
          <w:color w:val="1F4E79"/>
          <w:sz w:val="17"/>
        </w:rPr>
        <w:t xml:space="preserve">• </w:t>
      </w:r>
      <w:r>
        <w:rPr>
          <w:rFonts w:ascii="Aptos" w:hAnsi="Aptos" w:eastAsia="Microsoft YaHei"/>
          <w:color w:val="222222"/>
          <w:sz w:val="17"/>
        </w:rPr>
        <w:t>独立负责“国网商旅”项目，推进项目立项、产品策划、产品设计、UI定调和技术团队研发。</w:t>
      </w:r>
    </w:p>
    <w:p>
      <w:pPr>
        <w:spacing w:before="0" w:after="36" w:line="247" w:lineRule="auto"/>
        <w:ind w:left="142" w:hanging="102"/>
      </w:pPr>
      <w:r>
        <w:rPr>
          <w:rFonts w:ascii="Aptos" w:hAnsi="Aptos" w:eastAsia="Microsoft YaHei"/>
          <w:b/>
          <w:color w:val="1F4E79"/>
          <w:sz w:val="17"/>
        </w:rPr>
        <w:t xml:space="preserve">• </w:t>
      </w:r>
      <w:r>
        <w:rPr>
          <w:rFonts w:ascii="Aptos" w:hAnsi="Aptos" w:eastAsia="Microsoft YaHei"/>
          <w:color w:val="222222"/>
          <w:sz w:val="17"/>
        </w:rPr>
        <w:t>完成国网电商项目12个小版本、3个中版本迭代，完善IM、消息推送、电商活动等产品功能架构，并推进国网物资平台按甲方要求完成交付。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7"/>
        <w:gridCol w:w="3507"/>
        <w:gridCol w:w="3507"/>
      </w:tblGrid>
      <w:tr>
        <w:tc>
          <w:tcPr>
            <w:tcW w:type="dxa" w:w="4139"/>
            <w:vAlign w:val="center"/>
            <w:shd w:fill="EAF2F8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6" w:color="D9E2EA"/>
              <w:bottom w:val="single" w:sz="6" w:color="D9E2EA"/>
              <w:left w:val="nil"/>
              <w:right w:val="nil"/>
            </w:tcBorders>
          </w:tcPr>
          <w:p>
            <w:pPr>
              <w:spacing w:before="0" w:after="0" w:line="247" w:lineRule="auto"/>
            </w:pPr>
            <w:r>
              <w:rPr>
                <w:rFonts w:ascii="Aptos" w:hAnsi="Aptos" w:eastAsia="Microsoft YaHei"/>
                <w:b/>
                <w:color w:val="17365D"/>
                <w:sz w:val="18"/>
              </w:rPr>
              <w:t>四川省油菜花网络科技有限公司</w:t>
            </w:r>
          </w:p>
        </w:tc>
        <w:tc>
          <w:tcPr>
            <w:tcW w:type="dxa" w:w="3458"/>
            <w:vAlign w:val="center"/>
            <w:shd w:fill="EAF2F8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6" w:color="D9E2EA"/>
              <w:bottom w:val="single" w:sz="6" w:color="D9E2EA"/>
              <w:left w:val="nil"/>
              <w:right w:val="nil"/>
            </w:tcBorders>
          </w:tcPr>
          <w:p>
            <w:pPr>
              <w:spacing w:before="0" w:after="0" w:line="247" w:lineRule="auto"/>
            </w:pPr>
            <w:r>
              <w:rPr>
                <w:rFonts w:ascii="Aptos" w:hAnsi="Aptos" w:eastAsia="Microsoft YaHei"/>
                <w:b/>
                <w:color w:val="4D4D4D"/>
                <w:sz w:val="17"/>
              </w:rPr>
              <w:t>电商产品经理</w:t>
            </w:r>
          </w:p>
        </w:tc>
        <w:tc>
          <w:tcPr>
            <w:tcW w:type="dxa" w:w="2381"/>
            <w:vAlign w:val="center"/>
            <w:shd w:fill="EAF2F8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6" w:color="D9E2EA"/>
              <w:bottom w:val="single" w:sz="6" w:color="D9E2EA"/>
              <w:left w:val="nil"/>
              <w:right w:val="nil"/>
            </w:tcBorders>
          </w:tcPr>
          <w:p>
            <w:pPr>
              <w:spacing w:before="0" w:after="0" w:line="247" w:lineRule="auto"/>
              <w:jc w:val="right"/>
            </w:pPr>
            <w:r>
              <w:rPr>
                <w:rFonts w:ascii="Aptos" w:hAnsi="Aptos" w:eastAsia="Microsoft YaHei"/>
                <w:b/>
                <w:color w:val="4D4D4D"/>
                <w:sz w:val="17"/>
              </w:rPr>
              <w:t>2014.04-2015.08</w:t>
            </w:r>
          </w:p>
        </w:tc>
      </w:tr>
    </w:tbl>
    <w:p>
      <w:pPr>
        <w:spacing w:before="0" w:after="36" w:line="247" w:lineRule="auto"/>
        <w:ind w:left="142" w:hanging="102"/>
      </w:pPr>
      <w:r>
        <w:rPr>
          <w:rFonts w:ascii="Aptos" w:hAnsi="Aptos" w:eastAsia="Microsoft YaHei"/>
          <w:b/>
          <w:color w:val="1F4E79"/>
          <w:sz w:val="17"/>
        </w:rPr>
        <w:t xml:space="preserve">• </w:t>
      </w:r>
      <w:r>
        <w:rPr>
          <w:rFonts w:ascii="Aptos" w:hAnsi="Aptos" w:eastAsia="Microsoft YaHei"/>
          <w:color w:val="222222"/>
          <w:sz w:val="17"/>
        </w:rPr>
        <w:t>负责商城前端展示、订单、商品、活动、后台流程等产品策划与研发跟进，协调设计、技术、文案等岗位完成线上线下活动及功能落地。</w:t>
      </w:r>
    </w:p>
    <w:p>
      <w:pPr>
        <w:spacing w:before="0" w:after="36" w:line="247" w:lineRule="auto"/>
        <w:ind w:left="142" w:hanging="102"/>
      </w:pPr>
      <w:r>
        <w:rPr>
          <w:rFonts w:ascii="Aptos" w:hAnsi="Aptos" w:eastAsia="Microsoft YaHei"/>
          <w:b/>
          <w:color w:val="1F4E79"/>
          <w:sz w:val="17"/>
        </w:rPr>
        <w:t xml:space="preserve">• </w:t>
      </w:r>
      <w:r>
        <w:rPr>
          <w:rFonts w:ascii="Aptos" w:hAnsi="Aptos" w:eastAsia="Microsoft YaHei"/>
          <w:color w:val="222222"/>
          <w:sz w:val="17"/>
        </w:rPr>
        <w:t>通过第三方工具分析PV、UV、VV、IP、热力区等数据，统计商城销售数据并建立基础数据模型，为业务决策提供信息支持。</w:t>
      </w:r>
    </w:p>
    <w:p>
      <w:pPr>
        <w:spacing w:before="160" w:after="80" w:line="247" w:lineRule="auto"/>
        <w:pBdr>
          <w:bottom w:val="single" w:sz="8" w:space="3" w:color="D9E2EA"/>
        </w:pBdr>
      </w:pPr>
      <w:r>
        <w:rPr>
          <w:rFonts w:ascii="Aptos" w:hAnsi="Aptos" w:eastAsia="Microsoft YaHei"/>
          <w:b/>
          <w:color w:val="17365D"/>
          <w:sz w:val="24"/>
        </w:rPr>
        <w:t>教育经历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7"/>
        <w:gridCol w:w="3507"/>
        <w:gridCol w:w="3507"/>
      </w:tblGrid>
      <w:tr>
        <w:tc>
          <w:tcPr>
            <w:tcW w:type="dxa" w:w="4706"/>
            <w:shd w:fill="FBFCFD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9E2EA"/>
              <w:bottom w:val="single" w:sz="4" w:color="D9E2EA"/>
              <w:left w:val="nil"/>
              <w:right w:val="nil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rFonts w:ascii="Aptos" w:hAnsi="Aptos" w:eastAsia="Microsoft YaHei"/>
                <w:b/>
                <w:color w:val="222222"/>
                <w:sz w:val="17"/>
              </w:rPr>
              <w:t>IIT-伊利诺伊理工大学 成都信息工程学院银杏酒店管理学院</w:t>
            </w:r>
          </w:p>
        </w:tc>
        <w:tc>
          <w:tcPr>
            <w:tcW w:type="dxa" w:w="2835"/>
            <w:shd w:fill="FBFCFD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9E2EA"/>
              <w:bottom w:val="single" w:sz="4" w:color="D9E2EA"/>
              <w:left w:val="nil"/>
              <w:right w:val="nil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rFonts w:ascii="Aptos" w:hAnsi="Aptos" w:eastAsia="Microsoft YaHei"/>
                <w:b/>
                <w:color w:val="222222"/>
                <w:sz w:val="17"/>
              </w:rPr>
              <w:t>MBA 本科 | 信息系统与信息管理</w:t>
            </w:r>
          </w:p>
        </w:tc>
        <w:tc>
          <w:tcPr>
            <w:tcW w:type="dxa" w:w="2381"/>
            <w:shd w:fill="FBFCFD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9E2EA"/>
              <w:bottom w:val="single" w:sz="4" w:color="D9E2EA"/>
              <w:left w:val="nil"/>
              <w:right w:val="nil"/>
            </w:tcBorders>
          </w:tcPr>
          <w:p>
            <w:pPr>
              <w:spacing w:before="0" w:after="0" w:line="247" w:lineRule="auto"/>
              <w:jc w:val="right"/>
            </w:pPr>
            <w:r>
              <w:rPr>
                <w:rFonts w:ascii="Aptos" w:hAnsi="Aptos" w:eastAsia="Microsoft YaHei"/>
                <w:b/>
                <w:color w:val="4D4D4D"/>
                <w:sz w:val="17"/>
              </w:rPr>
              <w:t>在读 2011-2015</w:t>
            </w:r>
          </w:p>
        </w:tc>
      </w:tr>
    </w:tbl>
    <w:p>
      <w:pPr>
        <w:spacing w:before="160" w:after="80" w:line="247" w:lineRule="auto"/>
        <w:pBdr>
          <w:bottom w:val="single" w:sz="8" w:space="3" w:color="D9E2EA"/>
        </w:pBdr>
      </w:pPr>
      <w:r>
        <w:rPr>
          <w:rFonts w:ascii="Aptos" w:hAnsi="Aptos" w:eastAsia="Microsoft YaHei"/>
          <w:b/>
          <w:color w:val="17365D"/>
          <w:sz w:val="24"/>
        </w:rPr>
        <w:t>认证</w:t>
      </w:r>
    </w:p>
    <w:p>
      <w:pPr>
        <w:spacing w:before="0" w:after="40" w:line="247" w:lineRule="auto"/>
      </w:pPr>
    </w:p>
    <w:p>
      <w:pPr>
        <w:spacing w:before="160" w:after="80" w:line="247" w:lineRule="auto"/>
        <w:pBdr>
          <w:bottom w:val="single" w:sz="8" w:space="3" w:color="D9E2EA"/>
        </w:pBdr>
      </w:pPr>
      <w:r>
        <w:rPr>
          <w:rFonts w:ascii="Aptos" w:hAnsi="Aptos" w:eastAsia="Microsoft YaHei"/>
          <w:b/>
          <w:color w:val="17365D"/>
          <w:sz w:val="24"/>
        </w:rPr>
        <w:t>个人作品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22"/>
      </w:tblGrid>
      <w:tr>
        <w:tc>
          <w:tcPr>
            <w:tcW w:type="dxa" w:w="10522"/>
            <w:shd w:fill="F5F9FC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4" w:color="D9E2EA"/>
              <w:bottom w:val="single" w:sz="4" w:color="D9E2EA"/>
              <w:left w:val="single" w:sz="12" w:color="1F4E79"/>
              <w:right w:val="single" w:sz="4" w:color="D9E2EA"/>
            </w:tcBorders>
          </w:tcPr>
          <w:p>
            <w:pPr>
              <w:spacing w:before="0" w:after="0" w:line="247" w:lineRule="auto"/>
            </w:pPr>
            <w:r>
              <w:rPr>
                <w:rFonts w:ascii="Aptos" w:hAnsi="Aptos" w:eastAsia="Microsoft YaHei"/>
                <w:b/>
                <w:color w:val="17365D"/>
                <w:sz w:val="17"/>
              </w:rPr>
              <w:t>Portfolio / 个人作品链接：待补充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595" w:right="692" w:bottom="539" w:left="6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7" w:lineRule="auto"/>
      <w:jc w:val="center"/>
    </w:pPr>
    <w:r>
      <w:rPr>
        <w:rFonts w:ascii="Aptos" w:hAnsi="Aptos" w:eastAsia="Microsoft YaHei"/>
        <w:color w:val="A6A6A6"/>
        <w:sz w:val="14"/>
      </w:rPr>
      <w:t>曹宇迪 | B端AI应用产品负责人 | 简历设计版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曹宇迪-B端AI应用产品负责人-简历设计版</dc:title>
  <dc:subject>B端AI应用产品负责人简历</dc:subject>
  <dc:creator>曹宇迪</dc:creator>
  <cp:keywords/>
  <dc:description>Designed resume version generated from provided resume content.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