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51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2"/>
        <w:gridCol w:w="1140"/>
        <w:gridCol w:w="1110"/>
        <w:gridCol w:w="1095"/>
        <w:gridCol w:w="11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8517" w:type="dxa"/>
            <w:gridSpan w:val="6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NiCS软件需求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用户页面内容</w:t>
            </w:r>
          </w:p>
        </w:tc>
        <w:tc>
          <w:tcPr>
            <w:tcW w:w="11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功能名称</w:t>
            </w:r>
          </w:p>
        </w:tc>
        <w:tc>
          <w:tcPr>
            <w:tcW w:w="111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功能描述</w:t>
            </w:r>
          </w:p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数据描述</w:t>
            </w: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用户层级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共一个页面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公司图标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用户名（学校名称）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密码（</w:t>
            </w:r>
            <w:r>
              <w:rPr>
                <w:rFonts w:hint="eastAsia"/>
                <w:vertAlign w:val="baseline"/>
                <w:lang w:val="en-US" w:eastAsia="zh-CN"/>
              </w:rPr>
              <w:t>6位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管理角色选项（普通用户、管理员、超级管理员）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用户注册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登录、退出（两个按键）</w:t>
            </w:r>
          </w:p>
        </w:tc>
        <w:tc>
          <w:tcPr>
            <w:tcW w:w="114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</w:t>
            </w:r>
          </w:p>
        </w:tc>
        <w:tc>
          <w:tcPr>
            <w:tcW w:w="111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登录页面</w:t>
            </w:r>
          </w:p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页面一内容为一级标题，二级标题各为一个页面。二级标题为一级标题的嵌套。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头像（可修改）</w:t>
            </w:r>
          </w:p>
          <w:p>
            <w:pPr>
              <w:numPr>
                <w:ilvl w:val="0"/>
                <w:numId w:val="2"/>
              </w:numPr>
              <w:ind w:left="420" w:leftChars="0" w:firstLine="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修改头像（可选择照片）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身份（普通用户、管理员、超级管理员）（默认）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用户名（学校名称）</w:t>
            </w:r>
          </w:p>
          <w:p>
            <w:pPr>
              <w:numPr>
                <w:ilvl w:val="0"/>
                <w:numId w:val="2"/>
              </w:numPr>
              <w:ind w:left="420" w:leftChars="0" w:firstLine="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修改用户名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地区</w:t>
            </w:r>
          </w:p>
          <w:p>
            <w:pPr>
              <w:numPr>
                <w:ilvl w:val="0"/>
                <w:numId w:val="2"/>
              </w:numPr>
              <w:ind w:left="420" w:leftChars="0" w:firstLine="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修改地区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修改密码</w:t>
            </w:r>
          </w:p>
          <w:p>
            <w:pPr>
              <w:numPr>
                <w:ilvl w:val="0"/>
                <w:numId w:val="2"/>
              </w:numPr>
              <w:ind w:left="420" w:leftChars="0" w:firstLine="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密保问题（三个）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退出登录</w:t>
            </w:r>
          </w:p>
        </w:tc>
        <w:tc>
          <w:tcPr>
            <w:tcW w:w="1140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个人信息</w:t>
            </w:r>
          </w:p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页面一内容为总标题；页面二内容为一级标题；二级标题各为一个页面。</w:t>
            </w:r>
            <w:r>
              <w:rPr>
                <w:rFonts w:hint="eastAsia"/>
                <w:vertAlign w:val="baseline"/>
                <w:lang w:eastAsia="zh-CN"/>
              </w:rPr>
              <w:t>二级标题为一级标题的嵌套。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管理员用户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管理员用户名称（罗列）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增加用户（输入用户名称）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修改角色（超级管理员，管理员，普通用户）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删除用户（罗列系统内用户名，选择删除）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查询信息（显示用户所有信息）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修改权限（修改某用户拥有的权限）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授权设备通道开关（可关闭或开启某个设备通道）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普通用户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普通用户名称（罗列）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增加用户（输入用户名称）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修改角色（超级管理员，管理员，普通用户）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删除用户（罗列系统内用户名，选择删除）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查询信息（显示用户所有信息）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修改权限（修改某用户拥有的权限）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授权设备通道开关（可关闭或开启某个设备通道）</w:t>
            </w:r>
          </w:p>
        </w:tc>
        <w:tc>
          <w:tcPr>
            <w:tcW w:w="1140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0" w:type="dxa"/>
            <w:tcBorders>
              <w:tl2br w:val="nil"/>
              <w:tr2bl w:val="nil"/>
            </w:tcBorders>
          </w:tcPr>
          <w:p/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控制器</w:t>
            </w: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超级管理员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每个标题各为一个页面。第二个标题为第一个标题的嵌套，以此类推。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地区（省）（罗列所有地区）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城市（罗列所有城市）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学校名称（罗列所有学校名称）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大区域（罗列）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学校所有灯具全开/全关（两个按键）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大区域灯具全开/全关（两个按键）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小区域灯具全开/全关（开关键）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例如：河南省（地区）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焦作（城市）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某某小学（学校名称）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一号公寓（大区域）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一号公寓一层（小区域）</w:t>
            </w:r>
          </w:p>
        </w:tc>
        <w:tc>
          <w:tcPr>
            <w:tcW w:w="114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拓扑管理、设备控制</w:t>
            </w:r>
          </w:p>
        </w:tc>
        <w:tc>
          <w:tcPr>
            <w:tcW w:w="111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t>可直观清晰地显示全网所有骨干网络设备、子网和互联关系</w:t>
            </w:r>
          </w:p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超级管理员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每个标题各为一个页面。第二个标题为第一个标题的嵌套，以此类推。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城市（罗列）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学校名称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大区域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学校所有灯具全开/全关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大区域灯具全开/全关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小区域灯具全开/全关</w:t>
            </w:r>
          </w:p>
        </w:tc>
        <w:tc>
          <w:tcPr>
            <w:tcW w:w="1140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63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422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每个标题各为一个页面。第二个标题为第一个标题的嵌套，以此类推。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学校名称（默认）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大区域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学校所有灯具全开/全关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大区域灯具全开/全关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小区域灯具全开/全关</w:t>
            </w:r>
          </w:p>
        </w:tc>
        <w:tc>
          <w:tcPr>
            <w:tcW w:w="114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95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普通用户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63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22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页面一内容为总标题；页面二内容为一级标题；页面三内容为二级标题。每个标题为其上级标题的嵌套。蓝色部分为一个矩阵。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目标设备</w:t>
            </w:r>
            <w:r>
              <w:rPr>
                <w:rFonts w:hint="eastAsia"/>
                <w:vertAlign w:val="baseline"/>
                <w:lang w:val="en-US" w:eastAsia="zh-CN"/>
              </w:rPr>
              <w:t>IP地址（手动输入或局域网内查找设备并连接）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目标设备通信地址（手动输入）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通信设置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通信方式（串口、网络）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串口号（</w:t>
            </w:r>
            <w:r>
              <w:rPr>
                <w:rFonts w:hint="eastAsia"/>
                <w:vertAlign w:val="baseline"/>
                <w:lang w:val="en-US" w:eastAsia="zh-CN"/>
              </w:rPr>
              <w:t>COM1、COM2等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端口开闭按键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使用说明</w:t>
            </w:r>
          </w:p>
          <w:p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设备配置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新建配置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复位配置表（整个配置表变为c初始状态）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读取配置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传输数据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停止通信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传输设置</w:t>
            </w:r>
          </w:p>
          <w:p>
            <w:pPr>
              <w:numPr>
                <w:ilvl w:val="0"/>
                <w:numId w:val="11"/>
              </w:numPr>
              <w:ind w:left="42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传输控制器配置</w:t>
            </w:r>
          </w:p>
          <w:p>
            <w:pPr>
              <w:numPr>
                <w:ilvl w:val="0"/>
                <w:numId w:val="11"/>
              </w:numPr>
              <w:ind w:left="42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同步时间日期、控制器高级参数</w:t>
            </w:r>
          </w:p>
          <w:p>
            <w:pPr>
              <w:numPr>
                <w:ilvl w:val="0"/>
                <w:numId w:val="11"/>
              </w:numPr>
              <w:ind w:left="42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更改地址</w:t>
            </w:r>
          </w:p>
          <w:p>
            <w:pPr>
              <w:numPr>
                <w:ilvl w:val="0"/>
                <w:numId w:val="11"/>
              </w:numPr>
              <w:ind w:left="42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发送保存命令（勾选）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高级参数</w:t>
            </w:r>
          </w:p>
          <w:p>
            <w:pPr>
              <w:numPr>
                <w:ilvl w:val="0"/>
                <w:numId w:val="11"/>
              </w:numPr>
              <w:ind w:left="42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设置人体感应最低照度</w:t>
            </w:r>
          </w:p>
          <w:p>
            <w:pPr>
              <w:numPr>
                <w:ilvl w:val="0"/>
                <w:numId w:val="11"/>
              </w:numPr>
              <w:ind w:left="42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时序启动延时参数</w:t>
            </w:r>
          </w:p>
          <w:p>
            <w:pPr>
              <w:numPr>
                <w:ilvl w:val="0"/>
                <w:numId w:val="11"/>
              </w:numPr>
              <w:ind w:left="42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人体感应模式开始时间/结束时间</w:t>
            </w:r>
          </w:p>
          <w:p>
            <w:pPr>
              <w:numPr>
                <w:ilvl w:val="0"/>
                <w:numId w:val="11"/>
              </w:numPr>
              <w:ind w:left="42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会议模式最低照度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共四列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端口（序号）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控制模式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控制端口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参数设置（A、B、C）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显示A/B区、显示A/C区（两个按键）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配置文件管理（更改配置自动备份到本地或手动保存到本地）</w:t>
            </w:r>
          </w:p>
          <w:p>
            <w:pPr>
              <w:numPr>
                <w:ilvl w:val="0"/>
                <w:numId w:val="13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配置表（格式为：共三列：配置名称，创建时间，创建人。）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设备配置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写入或读取控制器各个端口模式。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控制器</w:t>
            </w: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111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页面一内容为一级标题，二级标题各为一个页面。二级标题为一级标题的嵌套。输出结果保留整数。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能耗测量（学校为单位）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总用电量实时监测（每一小时传输一次）（生成波形图，横坐标为时间，纵坐标为用电量）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总用电量历史记录（分为日、周、月）（生成柱状图）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分区用电量实时监测（大区）（生成柱状图）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分区用电量历史记录（分为日、周、月）（生成柱状图）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总用电参数测量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总电压实时监测（每一小时传输一次）（波形图，横坐标为时间，纵坐标为电压）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总电压历史记录（分为日、周、月）（生成柱状图）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总电流实时监测（每一小时传输一次）（生成波形图）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总电流历史记录（分为日、周、月）（生成柱状图）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总功率实时监测（每一小时传输一次）（生成波形图）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总功率历史记录（生成柱状图）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分区用电参数测量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分区电压实时监测（每一小时传输一次）（波形图，横坐标为时间，纵坐标为电压）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分区电压历史记录（分为日、周、月）（生成柱状图）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分区电流实时监测（每一小时传输一次）（生成波形图）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分区电流历史记录（分为日、周、月）（生成柱状图）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分区功率实时监测（每一小时传输一次）（生成波形图）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分区功率历史记录（生成柱状图）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总节电量统计（日、周、月）（生成波形图，两条波形，一条为荧光灯用电量，一条为本系统灯具用电量）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光衰自检（每一小时传输一次）（生成折线图）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亮度状态（低（红色），中（绿色），高（红色））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健康阈值（可设定0—100）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测量数据（0—100）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健康状态（照度不足（红色），照度一般（橙色），照度正常（绿色））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设备测量</w:t>
            </w:r>
          </w:p>
        </w:tc>
        <w:tc>
          <w:tcPr>
            <w:tcW w:w="111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功率</w:t>
            </w: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*时间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控制器可传回总功率，一小时传输一次。其他数据通过加法、乘法即可计算。</w:t>
            </w:r>
          </w:p>
          <w:p>
            <w:pPr>
              <w:rPr>
                <w:rFonts w:hint="eastAsia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>电流电压读不回来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  <w:r>
              <w:rPr>
                <w:rFonts w:hint="eastAsia"/>
                <w:color w:val="C00000"/>
                <w:vertAlign w:val="baseline"/>
                <w:lang w:eastAsia="zh-CN"/>
              </w:rPr>
              <w:t>功率不准确</w:t>
            </w: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color w:val="0D0D0D" w:themeColor="text1" w:themeTint="F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荧光灯额定功率</w:t>
            </w: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*时间</w:t>
            </w:r>
          </w:p>
          <w:p>
            <w:pPr>
              <w:rPr>
                <w:rFonts w:hint="default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测量出的功率*时间</w:t>
            </w: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一级标题各为一个页面。二级标题为一级标题的嵌套。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异常提示信息（并</w:t>
            </w:r>
            <w:r>
              <w:rPr>
                <w:rFonts w:hint="eastAsia"/>
                <w:vertAlign w:val="baseline"/>
                <w:lang w:eastAsia="zh-CN"/>
              </w:rPr>
              <w:t>发送设备异常短信</w:t>
            </w:r>
            <w:r>
              <w:rPr>
                <w:rFonts w:hint="eastAsia"/>
                <w:vertAlign w:val="baseline"/>
                <w:lang w:val="en-US" w:eastAsia="zh-CN"/>
              </w:rPr>
              <w:t>）（提示内容如下：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1、欠压保护，超过设定告警阈值自动断电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2、过压保护，超过设定告警阈值自动断电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3、过载保护，超过设定告警阈值自动断电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4、功率过大/过小告警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根据故障信息提供解决方法）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告警阈值（有默认值，可修改）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电压告警阈值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电流告警阈值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功率告警阈值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设备故障记录（格式为：共三列。分别为时间，故障原因，是否解决）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系统保护</w:t>
            </w:r>
          </w:p>
        </w:tc>
        <w:tc>
          <w:tcPr>
            <w:tcW w:w="111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根据测量的数据判断是否故障</w:t>
            </w: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平面图，展示内容为：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展示各区域设备开关状态（开为绿色，关为灰色）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数据图展示，展示内容为：（每一小时更新一次）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过去24小时总用电量（折线图）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过去24小时总电压（曲线图）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过去24小时总电流（曲线图）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过去24小时总功率（曲线图）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过去24小时分区域用电量（饼图）</w:t>
            </w:r>
          </w:p>
          <w:p>
            <w:pPr>
              <w:numPr>
                <w:ilvl w:val="0"/>
                <w:numId w:val="4"/>
              </w:numPr>
              <w:ind w:left="42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对用电异常状态进行提醒，达到对异常提前预知和及时处理解决（标红提示）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大屏展示</w:t>
            </w:r>
          </w:p>
        </w:tc>
        <w:tc>
          <w:tcPr>
            <w:tcW w:w="111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微信界面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微信接入</w:t>
            </w:r>
          </w:p>
        </w:tc>
        <w:tc>
          <w:tcPr>
            <w:tcW w:w="111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通过微信，运维人员可以对监控的告警信息进行接收，通过查看相关的告警信息</w:t>
            </w:r>
          </w:p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637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0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095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错误信息显示格式：文本框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硬件接口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485通信格式、ModeBus通信格式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软件接口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API（实现电脑和软件之间的通信）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支持所有操作系统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通信接口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TCP/IP协议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故障处理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对可能的软件、硬件故障以及对各项性能而言所产生的后果进行处理。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时间特性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响应时间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更新处理时间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数据转换与传输时间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运行时间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适应性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在操作方式、运行环境、与其他软件的接口以及开发计划等发生变化时，软件具有一定适应能力。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82E52"/>
    <w:multiLevelType w:val="singleLevel"/>
    <w:tmpl w:val="97982E5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7EE2406"/>
    <w:multiLevelType w:val="singleLevel"/>
    <w:tmpl w:val="97EE24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3D318A8"/>
    <w:multiLevelType w:val="singleLevel"/>
    <w:tmpl w:val="B3D318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CBE6DA4"/>
    <w:multiLevelType w:val="singleLevel"/>
    <w:tmpl w:val="BCBE6D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37DEC4A"/>
    <w:multiLevelType w:val="singleLevel"/>
    <w:tmpl w:val="E37DEC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5E36270"/>
    <w:multiLevelType w:val="singleLevel"/>
    <w:tmpl w:val="E5E362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641F653"/>
    <w:multiLevelType w:val="singleLevel"/>
    <w:tmpl w:val="1641F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9433928"/>
    <w:multiLevelType w:val="singleLevel"/>
    <w:tmpl w:val="194339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E9F8241"/>
    <w:multiLevelType w:val="multilevel"/>
    <w:tmpl w:val="3E9F8241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bullet"/>
      <w:pStyle w:val="5"/>
      <w:suff w:val="nothing"/>
      <w:lvlText w:val=""/>
      <w:lvlJc w:val="left"/>
      <w:pPr>
        <w:ind w:left="0" w:firstLine="402"/>
      </w:pPr>
      <w:rPr>
        <w:rFonts w:hint="eastAsia" w:ascii="Wingdings" w:hAnsi="Wingdings" w:eastAsia="宋体" w:cs="Wingdings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9">
    <w:nsid w:val="47748A95"/>
    <w:multiLevelType w:val="singleLevel"/>
    <w:tmpl w:val="47748A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173E83D"/>
    <w:multiLevelType w:val="multilevel"/>
    <w:tmpl w:val="5173E83D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 w:cs="Wingdings"/>
      </w:rPr>
    </w:lvl>
    <w:lvl w:ilvl="1" w:tentative="0">
      <w:start w:val="1"/>
      <w:numFmt w:val="decimal"/>
      <w:lvlText w:val="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.%2.%3.%4.%5.%6.%7.%8.%9."/>
      <w:lvlJc w:val="left"/>
      <w:pPr>
        <w:ind w:left="4648" w:hanging="1448"/>
      </w:pPr>
      <w:rPr>
        <w:rFonts w:hint="default"/>
      </w:rPr>
    </w:lvl>
  </w:abstractNum>
  <w:abstractNum w:abstractNumId="11">
    <w:nsid w:val="698B5124"/>
    <w:multiLevelType w:val="singleLevel"/>
    <w:tmpl w:val="698B512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9ABEA11"/>
    <w:multiLevelType w:val="singleLevel"/>
    <w:tmpl w:val="79ABEA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0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B1EE5"/>
    <w:rsid w:val="0CFA588B"/>
    <w:rsid w:val="132963BF"/>
    <w:rsid w:val="269C2CA4"/>
    <w:rsid w:val="335A042C"/>
    <w:rsid w:val="393F38D4"/>
    <w:rsid w:val="5EAF0A95"/>
    <w:rsid w:val="5F98278B"/>
    <w:rsid w:val="61724E6F"/>
    <w:rsid w:val="668B1EE5"/>
    <w:rsid w:val="68A65DF2"/>
    <w:rsid w:val="7826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2019-04-23T06:25:00Z</dcterms:created>
  <dc:creator>Administrator</dc:creator>
  <cp:lastModifiedBy>Administrator</cp:lastModifiedBy>
  <dcterms:modified xsi:type="dcterms:W3CDTF">2019-04-24T09:18:04Z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