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l4gm578284z2" w:id="0"/>
      <w:bookmarkEnd w:id="0"/>
      <w:r w:rsidDel="00000000" w:rsidR="00000000" w:rsidRPr="00000000">
        <w:rPr>
          <w:rtl w:val="0"/>
        </w:rPr>
        <w:t xml:space="preserve">Dojo Contours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travail sur</w:t>
      </w:r>
      <w:r w:rsidDel="00000000" w:rsidR="00000000" w:rsidRPr="00000000">
        <w:rPr>
          <w:rtl w:val="0"/>
        </w:rPr>
        <w:t xml:space="preserve"> : manipulation de tableaux, double boucle for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Énoncé : Remplir une zone en 2 dimensions en laissant une marge.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entrée, un tableau à 2 dimensions contenant des 0 et des 1. Les 0 représentent une zone qu’il faut ignorer. Les 1 représentent la zone géométrique à remplir avec des 2. Lors du remplissage, il faut toujours laisser une marge de 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sortie, un tableau à 2 dimensions avec la zone géométrique identifiée par des 1 remplie de 2 avec une marge de 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Exemples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entrée</w:t>
        <w:tab/>
        <w:tab/>
        <w:tab/>
        <w:tab/>
        <w:tab/>
        <w:t xml:space="preserve">  En sortie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95850" cy="5048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Correction :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public static function </w:t>
      </w:r>
      <w:r w:rsidDel="00000000" w:rsidR="00000000" w:rsidRPr="00000000">
        <w:rPr>
          <w:rFonts w:ascii="Courier New" w:cs="Courier New" w:eastAsia="Courier New" w:hAnsi="Courier New"/>
          <w:color w:val="ffc66d"/>
          <w:highlight w:val="white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$input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$result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$y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$y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&lt; count(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$input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++){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$row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$input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$x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$x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&lt; count(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$x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++){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$x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$input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$x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=== 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$input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$x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]){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$input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$x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]) &amp;&amp;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$input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$x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]) &amp;&amp;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$input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$x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]) &amp;&amp;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$input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$x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])){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$ok2Fill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$i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$x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$i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$x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++){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$j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$y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$j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$y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$j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++){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$input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$j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] !==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$ok2Fill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break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true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=== 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$ok2Fill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$x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Tests :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$input55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$output55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$input35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$output35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$inputL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$outputL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$inputCross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$outputCross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public function </w:t>
      </w:r>
      <w:r w:rsidDel="00000000" w:rsidR="00000000" w:rsidRPr="00000000">
        <w:rPr>
          <w:rFonts w:ascii="Courier New" w:cs="Courier New" w:eastAsia="Courier New" w:hAnsi="Courier New"/>
          <w:color w:val="ffc66d"/>
          <w:highlight w:val="white"/>
          <w:rtl w:val="0"/>
        </w:rPr>
        <w:t xml:space="preserve">test1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c66d"/>
          <w:highlight w:val="white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output55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\wcs\KataExemple::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highlight w:val="white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input55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c66d"/>
          <w:highlight w:val="white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output35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\wcs\KataExemple::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highlight w:val="white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input35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c66d"/>
          <w:highlight w:val="white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outputL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\wcs\KataExemple::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highlight w:val="white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inputL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c66d"/>
          <w:highlight w:val="white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outputCross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\wcs\KataExemple::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highlight w:val="white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876aa"/>
          <w:highlight w:val="white"/>
          <w:rtl w:val="0"/>
        </w:rPr>
        <w:t xml:space="preserve">inputCross</w:t>
      </w: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b7c6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