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A5B16" w:rsidRDefault="005D1400" w:rsidP="000855D8">
      <w:pPr>
        <w:pStyle w:val="NormalWeb"/>
      </w:pPr>
      <w:r>
        <w:rPr>
          <w:noProof/>
        </w:rPr>
        <w:drawing>
          <wp:inline distT="0" distB="0" distL="0" distR="0">
            <wp:extent cx="6346190" cy="3658477"/>
            <wp:effectExtent l="19050" t="0" r="0" b="0"/>
            <wp:docPr id="2" name="Picture 1" descr="C:\Documents and Settings\bjg\Local Settings\Temp\Peoria MSA Summary Index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bjg\Local Settings\Temp\Peoria MSA Summary Index 2.jpg"/>
                    <pic:cNvPicPr>
                      <a:picLocks noChangeAspect="1" noChangeArrowheads="1"/>
                    </pic:cNvPicPr>
                  </pic:nvPicPr>
                  <pic:blipFill>
                    <a:blip r:embed="rId8" cstate="print"/>
                    <a:srcRect/>
                    <a:stretch>
                      <a:fillRect/>
                    </a:stretch>
                  </pic:blipFill>
                  <pic:spPr bwMode="auto">
                    <a:xfrm>
                      <a:off x="0" y="0"/>
                      <a:ext cx="6346190" cy="3658477"/>
                    </a:xfrm>
                    <a:prstGeom prst="rect">
                      <a:avLst/>
                    </a:prstGeom>
                    <a:noFill/>
                    <a:ln w="9525">
                      <a:noFill/>
                      <a:miter lim="800000"/>
                      <a:headEnd/>
                      <a:tailEnd/>
                    </a:ln>
                  </pic:spPr>
                </pic:pic>
              </a:graphicData>
            </a:graphic>
          </wp:inline>
        </w:drawing>
      </w:r>
    </w:p>
    <w:p w:rsidR="004F2F89" w:rsidRDefault="00AA02C4" w:rsidP="00BF51CC">
      <w:pPr>
        <w:pStyle w:val="NormalWeb"/>
        <w:jc w:val="center"/>
        <w:rPr>
          <w:sz w:val="36"/>
          <w:szCs w:val="36"/>
        </w:rPr>
      </w:pPr>
      <w:r>
        <w:rPr>
          <w:sz w:val="36"/>
          <w:szCs w:val="36"/>
        </w:rPr>
        <w:t>Peoria-Pekin MSA</w:t>
      </w:r>
      <w:r w:rsidR="00F54A44">
        <w:rPr>
          <w:sz w:val="36"/>
          <w:szCs w:val="36"/>
        </w:rPr>
        <w:t xml:space="preserve"> </w:t>
      </w:r>
      <w:r w:rsidR="00BF51CC">
        <w:rPr>
          <w:sz w:val="36"/>
          <w:szCs w:val="36"/>
        </w:rPr>
        <w:t xml:space="preserve">Business </w:t>
      </w:r>
      <w:r w:rsidR="00B7135D">
        <w:rPr>
          <w:sz w:val="36"/>
          <w:szCs w:val="36"/>
        </w:rPr>
        <w:t>Index</w:t>
      </w:r>
      <w:r w:rsidR="00F26A91">
        <w:rPr>
          <w:sz w:val="36"/>
          <w:szCs w:val="36"/>
        </w:rPr>
        <w:t xml:space="preserve"> </w:t>
      </w:r>
      <w:r w:rsidR="00732ED3">
        <w:rPr>
          <w:sz w:val="36"/>
          <w:szCs w:val="36"/>
        </w:rPr>
        <w:t xml:space="preserve">Stable for </w:t>
      </w:r>
    </w:p>
    <w:p w:rsidR="00F26A91" w:rsidRDefault="00035E15" w:rsidP="00BF51CC">
      <w:pPr>
        <w:pStyle w:val="NormalWeb"/>
        <w:jc w:val="center"/>
        <w:rPr>
          <w:sz w:val="36"/>
          <w:szCs w:val="36"/>
        </w:rPr>
      </w:pPr>
      <w:r>
        <w:rPr>
          <w:sz w:val="36"/>
          <w:szCs w:val="36"/>
        </w:rPr>
        <w:t xml:space="preserve">Second </w:t>
      </w:r>
      <w:r w:rsidR="00F26A91">
        <w:rPr>
          <w:sz w:val="36"/>
          <w:szCs w:val="36"/>
        </w:rPr>
        <w:t>Quarter 2014</w:t>
      </w:r>
    </w:p>
    <w:p w:rsidR="00035E15" w:rsidRDefault="00963184" w:rsidP="00681772">
      <w:pPr>
        <w:tabs>
          <w:tab w:val="left" w:pos="990"/>
          <w:tab w:val="left" w:pos="1710"/>
          <w:tab w:val="left" w:pos="2430"/>
          <w:tab w:val="left" w:pos="3150"/>
          <w:tab w:val="left" w:pos="3870"/>
          <w:tab w:val="left" w:pos="4590"/>
          <w:tab w:val="left" w:pos="5310"/>
          <w:tab w:val="left" w:pos="6030"/>
          <w:tab w:val="left" w:pos="6750"/>
          <w:tab w:val="left" w:pos="7470"/>
          <w:tab w:val="left" w:pos="8190"/>
        </w:tabs>
      </w:pPr>
      <w:r>
        <w:t xml:space="preserve">The </w:t>
      </w:r>
      <w:r w:rsidR="00035E15">
        <w:t xml:space="preserve">second </w:t>
      </w:r>
      <w:r>
        <w:t>quarter</w:t>
      </w:r>
      <w:r w:rsidR="00035E15">
        <w:t xml:space="preserve"> 2014 </w:t>
      </w:r>
      <w:r>
        <w:t xml:space="preserve">business and economic indicator Summary Index for the Peoria-Pekin Metropolitan Statistical Area (MSA; Peoria, Tazewell, Woodford, Stark and Marshall counties) </w:t>
      </w:r>
      <w:r w:rsidR="005D1400">
        <w:t xml:space="preserve">was unchanged from the </w:t>
      </w:r>
      <w:r w:rsidR="00332482">
        <w:t>previous quarter’s 96.7 level</w:t>
      </w:r>
      <w:r w:rsidR="00035E15">
        <w:t xml:space="preserve"> </w:t>
      </w:r>
      <w:r w:rsidR="005D1400">
        <w:t>maintaining</w:t>
      </w:r>
      <w:r w:rsidR="00A26A1B">
        <w:t xml:space="preserve"> </w:t>
      </w:r>
      <w:r w:rsidR="005D1400">
        <w:t xml:space="preserve">earlier </w:t>
      </w:r>
      <w:r w:rsidR="00035E15">
        <w:t>gains</w:t>
      </w:r>
      <w:r w:rsidR="00332482">
        <w:t xml:space="preserve"> </w:t>
      </w:r>
      <w:r w:rsidR="00035E15">
        <w:t xml:space="preserve">to </w:t>
      </w:r>
      <w:r w:rsidR="005D1400">
        <w:t xml:space="preserve">remain </w:t>
      </w:r>
      <w:r w:rsidR="00035E15">
        <w:t>0.7 percent above the previous year’s 96.0</w:t>
      </w:r>
    </w:p>
    <w:p w:rsidR="00035E15" w:rsidRDefault="00035E15" w:rsidP="00681772">
      <w:pPr>
        <w:tabs>
          <w:tab w:val="left" w:pos="990"/>
          <w:tab w:val="left" w:pos="1710"/>
          <w:tab w:val="left" w:pos="2430"/>
          <w:tab w:val="left" w:pos="3150"/>
          <w:tab w:val="left" w:pos="3870"/>
          <w:tab w:val="left" w:pos="4590"/>
          <w:tab w:val="left" w:pos="5310"/>
          <w:tab w:val="left" w:pos="6030"/>
          <w:tab w:val="left" w:pos="6750"/>
          <w:tab w:val="left" w:pos="7470"/>
          <w:tab w:val="left" w:pos="8190"/>
        </w:tabs>
      </w:pPr>
    </w:p>
    <w:p w:rsidR="00227F2E" w:rsidRDefault="00681772" w:rsidP="00227F2E">
      <w:pPr>
        <w:tabs>
          <w:tab w:val="left" w:pos="990"/>
          <w:tab w:val="left" w:pos="1710"/>
          <w:tab w:val="left" w:pos="2430"/>
          <w:tab w:val="left" w:pos="3150"/>
          <w:tab w:val="left" w:pos="3870"/>
          <w:tab w:val="left" w:pos="4590"/>
          <w:tab w:val="left" w:pos="5310"/>
          <w:tab w:val="left" w:pos="6030"/>
          <w:tab w:val="left" w:pos="6750"/>
          <w:tab w:val="left" w:pos="7470"/>
          <w:tab w:val="left" w:pos="8190"/>
        </w:tabs>
      </w:pPr>
      <w:r w:rsidRPr="00F61003">
        <w:t>The Center for Business and Econom</w:t>
      </w:r>
      <w:r w:rsidR="001C19F9" w:rsidRPr="00F61003">
        <w:t xml:space="preserve">ic Research (CBER) </w:t>
      </w:r>
      <w:r w:rsidR="00C32FF1">
        <w:t xml:space="preserve">reviews over 30 diverse </w:t>
      </w:r>
      <w:r w:rsidR="00FA3594">
        <w:t xml:space="preserve">business indicators in its quarterly assessments. The CBER </w:t>
      </w:r>
      <w:r w:rsidR="001C19F9" w:rsidRPr="00F61003">
        <w:t xml:space="preserve">computes </w:t>
      </w:r>
      <w:r w:rsidR="00FA3594">
        <w:t xml:space="preserve">its </w:t>
      </w:r>
      <w:r w:rsidR="00AA02C4" w:rsidRPr="00F61003">
        <w:t xml:space="preserve">quarterly </w:t>
      </w:r>
      <w:r w:rsidRPr="00F61003">
        <w:t>Summary Index o</w:t>
      </w:r>
      <w:r w:rsidR="00C32FF1">
        <w:t xml:space="preserve">f </w:t>
      </w:r>
      <w:r w:rsidRPr="00F61003">
        <w:t xml:space="preserve">key </w:t>
      </w:r>
      <w:r w:rsidR="00C32FF1">
        <w:t xml:space="preserve">local </w:t>
      </w:r>
      <w:r w:rsidRPr="00F61003">
        <w:t xml:space="preserve">business and economic indicators for the </w:t>
      </w:r>
      <w:r w:rsidR="006D78BB">
        <w:t xml:space="preserve">Peoria-Pekin </w:t>
      </w:r>
      <w:r w:rsidRPr="00F61003">
        <w:t>MSA</w:t>
      </w:r>
      <w:r w:rsidR="001C19F9" w:rsidRPr="00F61003">
        <w:t xml:space="preserve"> to reflect</w:t>
      </w:r>
      <w:r w:rsidRPr="00F61003">
        <w:t xml:space="preserve"> business activity in the MSA on a seasonally adjusted basis</w:t>
      </w:r>
      <w:r w:rsidR="000F414F">
        <w:t>, with a</w:t>
      </w:r>
      <w:r w:rsidRPr="00F61003">
        <w:t xml:space="preserve">n index score of 100 </w:t>
      </w:r>
      <w:r w:rsidR="000F414F">
        <w:t xml:space="preserve">corresponding to </w:t>
      </w:r>
      <w:r w:rsidR="00F2435A">
        <w:t xml:space="preserve">the </w:t>
      </w:r>
      <w:r w:rsidRPr="00F61003">
        <w:t xml:space="preserve">business conditions </w:t>
      </w:r>
      <w:r w:rsidR="00906B1E" w:rsidRPr="00F61003">
        <w:t xml:space="preserve">found </w:t>
      </w:r>
      <w:r w:rsidR="00227F2E">
        <w:t xml:space="preserve">locally </w:t>
      </w:r>
      <w:r w:rsidRPr="00F61003">
        <w:t xml:space="preserve">in the </w:t>
      </w:r>
      <w:r w:rsidR="00AC5C22">
        <w:t>first</w:t>
      </w:r>
      <w:r w:rsidRPr="00F61003">
        <w:t xml:space="preserve"> quarter of 2000</w:t>
      </w:r>
      <w:r w:rsidR="00C32FF1">
        <w:t>,</w:t>
      </w:r>
      <w:r w:rsidR="00BE624D">
        <w:t xml:space="preserve"> </w:t>
      </w:r>
      <w:r w:rsidR="00461420">
        <w:t xml:space="preserve">following </w:t>
      </w:r>
      <w:r w:rsidR="00540BE3" w:rsidRPr="00F61003">
        <w:t xml:space="preserve">the </w:t>
      </w:r>
      <w:r w:rsidR="00227F2E">
        <w:t xml:space="preserve">national economic expansion of the </w:t>
      </w:r>
      <w:r w:rsidR="00540BE3" w:rsidRPr="00F61003">
        <w:t>previous decade</w:t>
      </w:r>
      <w:r w:rsidR="00227F2E">
        <w:t xml:space="preserve">. The present </w:t>
      </w:r>
      <w:r w:rsidR="00F927A8">
        <w:t xml:space="preserve">national </w:t>
      </w:r>
      <w:r w:rsidR="00646073">
        <w:t xml:space="preserve">economic expansion </w:t>
      </w:r>
      <w:r w:rsidR="00461420">
        <w:t xml:space="preserve">began after </w:t>
      </w:r>
      <w:r w:rsidR="00FF6502" w:rsidRPr="00F61003">
        <w:t xml:space="preserve">the </w:t>
      </w:r>
      <w:r w:rsidR="00461420">
        <w:t xml:space="preserve">national </w:t>
      </w:r>
      <w:r w:rsidR="00FF6502" w:rsidRPr="00F61003">
        <w:t>rec</w:t>
      </w:r>
      <w:r w:rsidR="00FF6502">
        <w:t xml:space="preserve">ession </w:t>
      </w:r>
      <w:r w:rsidR="00FF6502" w:rsidRPr="00F61003">
        <w:t>of December 2007- June 2009</w:t>
      </w:r>
      <w:r w:rsidR="00F2435A">
        <w:t xml:space="preserve">: the local </w:t>
      </w:r>
      <w:r w:rsidR="00227F2E">
        <w:t>Summary Index</w:t>
      </w:r>
      <w:r w:rsidR="00F2435A">
        <w:t xml:space="preserve"> grew after reaching i</w:t>
      </w:r>
      <w:r w:rsidR="00227F2E">
        <w:t>ts cyclical low of 93.</w:t>
      </w:r>
      <w:r w:rsidR="00F34017">
        <w:t>1</w:t>
      </w:r>
      <w:r w:rsidR="00227F2E">
        <w:t xml:space="preserve"> </w:t>
      </w:r>
      <w:r w:rsidR="00F34017">
        <w:t xml:space="preserve">during </w:t>
      </w:r>
      <w:r w:rsidR="00227F2E">
        <w:t xml:space="preserve">the </w:t>
      </w:r>
      <w:r w:rsidR="00F34017">
        <w:t xml:space="preserve">third </w:t>
      </w:r>
      <w:r w:rsidR="00227F2E">
        <w:t>quarter of 2009.</w:t>
      </w:r>
    </w:p>
    <w:p w:rsidR="00227F2E" w:rsidRDefault="00227F2E" w:rsidP="00227F2E">
      <w:pPr>
        <w:tabs>
          <w:tab w:val="left" w:pos="990"/>
          <w:tab w:val="left" w:pos="1710"/>
          <w:tab w:val="left" w:pos="2430"/>
          <w:tab w:val="left" w:pos="3150"/>
          <w:tab w:val="left" w:pos="3870"/>
          <w:tab w:val="left" w:pos="4590"/>
          <w:tab w:val="left" w:pos="5310"/>
          <w:tab w:val="left" w:pos="6030"/>
          <w:tab w:val="left" w:pos="6750"/>
          <w:tab w:val="left" w:pos="7470"/>
          <w:tab w:val="left" w:pos="8190"/>
        </w:tabs>
      </w:pPr>
    </w:p>
    <w:p w:rsidR="00C070E4" w:rsidRDefault="00681772" w:rsidP="001A5B16">
      <w:pPr>
        <w:tabs>
          <w:tab w:val="left" w:pos="990"/>
          <w:tab w:val="left" w:pos="1710"/>
          <w:tab w:val="left" w:pos="2430"/>
          <w:tab w:val="left" w:pos="3150"/>
          <w:tab w:val="left" w:pos="3870"/>
          <w:tab w:val="left" w:pos="4590"/>
          <w:tab w:val="left" w:pos="5310"/>
          <w:tab w:val="left" w:pos="6030"/>
          <w:tab w:val="left" w:pos="6750"/>
          <w:tab w:val="left" w:pos="7470"/>
          <w:tab w:val="left" w:pos="8190"/>
        </w:tabs>
      </w:pPr>
      <w:r w:rsidRPr="00F61003">
        <w:t xml:space="preserve">The CBER is housed in the Foster College of Business of Bradley University and has compiled a local business and economic data base since 1991. The Peoria </w:t>
      </w:r>
      <w:r w:rsidRPr="00F61003">
        <w:rPr>
          <w:i/>
        </w:rPr>
        <w:t>Journal Star</w:t>
      </w:r>
      <w:r w:rsidRPr="00F61003">
        <w:t xml:space="preserve"> funds maintenance of this business indicator da</w:t>
      </w:r>
      <w:r w:rsidR="00DB1E18">
        <w:t>tabase</w:t>
      </w:r>
      <w:r w:rsidRPr="00F61003">
        <w:t>.  A detailed analysis of these data appears below.  Data reported are adjusted for normal sea</w:t>
      </w:r>
      <w:r w:rsidR="00AA02C4" w:rsidRPr="00F61003">
        <w:t xml:space="preserve">sonal variation, other than </w:t>
      </w:r>
      <w:r w:rsidRPr="00F61003">
        <w:t>sales figures of</w:t>
      </w:r>
      <w:r w:rsidR="00F927A8">
        <w:t xml:space="preserve"> Peo</w:t>
      </w:r>
      <w:r w:rsidR="001A5B16">
        <w:t>ria-Pekin MSA retail sales</w:t>
      </w:r>
      <w:r w:rsidR="00F2435A">
        <w:t xml:space="preserve">, Hospital Revenue Index </w:t>
      </w:r>
      <w:r w:rsidR="001A5B16">
        <w:t xml:space="preserve">and </w:t>
      </w:r>
      <w:r w:rsidR="00F2435A">
        <w:t xml:space="preserve">the </w:t>
      </w:r>
      <w:r w:rsidRPr="00F61003">
        <w:t xml:space="preserve">number </w:t>
      </w:r>
      <w:r w:rsidR="00F2435A">
        <w:t xml:space="preserve">of </w:t>
      </w:r>
      <w:r w:rsidRPr="00F61003">
        <w:t>homes sold</w:t>
      </w:r>
      <w:r w:rsidR="00F2435A">
        <w:t xml:space="preserve"> in the </w:t>
      </w:r>
      <w:r w:rsidR="00F2435A" w:rsidRPr="00F61003">
        <w:t>Peoria-Pekin MSA</w:t>
      </w:r>
      <w:r w:rsidR="001A5B16">
        <w:t>.</w:t>
      </w:r>
    </w:p>
    <w:p w:rsidR="00681772" w:rsidRPr="001A5B16" w:rsidRDefault="00B15204" w:rsidP="001A5B16">
      <w:pPr>
        <w:tabs>
          <w:tab w:val="left" w:pos="990"/>
          <w:tab w:val="left" w:pos="1710"/>
          <w:tab w:val="left" w:pos="2430"/>
          <w:tab w:val="left" w:pos="3150"/>
          <w:tab w:val="left" w:pos="3870"/>
          <w:tab w:val="left" w:pos="4590"/>
          <w:tab w:val="left" w:pos="5310"/>
          <w:tab w:val="left" w:pos="6030"/>
          <w:tab w:val="left" w:pos="6750"/>
          <w:tab w:val="left" w:pos="7470"/>
          <w:tab w:val="left" w:pos="8190"/>
        </w:tabs>
      </w:pPr>
      <w:r>
        <w:lastRenderedPageBreak/>
        <w:t>L</w:t>
      </w:r>
      <w:r w:rsidR="00681772" w:rsidRPr="00F61003">
        <w:t>abor Markets</w:t>
      </w:r>
    </w:p>
    <w:p w:rsidR="004660FF" w:rsidRDefault="004660FF" w:rsidP="008D4670">
      <w:pPr>
        <w:tabs>
          <w:tab w:val="left" w:pos="990"/>
          <w:tab w:val="left" w:pos="1710"/>
          <w:tab w:val="left" w:pos="2430"/>
          <w:tab w:val="left" w:pos="3150"/>
          <w:tab w:val="left" w:pos="3870"/>
          <w:tab w:val="left" w:pos="4590"/>
          <w:tab w:val="left" w:pos="5310"/>
          <w:tab w:val="left" w:pos="6030"/>
          <w:tab w:val="left" w:pos="6750"/>
          <w:tab w:val="left" w:pos="7470"/>
          <w:tab w:val="left" w:pos="8190"/>
        </w:tabs>
        <w:rPr>
          <w:bCs/>
          <w:iCs/>
        </w:rPr>
      </w:pPr>
    </w:p>
    <w:p w:rsidR="00C070E4" w:rsidRDefault="004660FF" w:rsidP="004660FF">
      <w:pPr>
        <w:tabs>
          <w:tab w:val="left" w:pos="990"/>
          <w:tab w:val="left" w:pos="1710"/>
          <w:tab w:val="left" w:pos="2430"/>
          <w:tab w:val="left" w:pos="3150"/>
          <w:tab w:val="left" w:pos="3870"/>
          <w:tab w:val="left" w:pos="4590"/>
          <w:tab w:val="left" w:pos="5310"/>
          <w:tab w:val="left" w:pos="6030"/>
          <w:tab w:val="left" w:pos="6750"/>
          <w:tab w:val="left" w:pos="7470"/>
          <w:tab w:val="left" w:pos="8190"/>
        </w:tabs>
        <w:rPr>
          <w:bCs/>
          <w:iCs/>
        </w:rPr>
      </w:pPr>
      <w:r>
        <w:rPr>
          <w:bCs/>
          <w:iCs/>
        </w:rPr>
        <w:t>Th</w:t>
      </w:r>
      <w:r w:rsidR="008D4670">
        <w:rPr>
          <w:bCs/>
          <w:iCs/>
        </w:rPr>
        <w:t xml:space="preserve">e number of </w:t>
      </w:r>
      <w:r w:rsidR="00C070E4">
        <w:rPr>
          <w:bCs/>
          <w:iCs/>
        </w:rPr>
        <w:t xml:space="preserve">working </w:t>
      </w:r>
      <w:r w:rsidR="008D4670">
        <w:t xml:space="preserve">Peoria-Pekin MSA residents </w:t>
      </w:r>
      <w:r w:rsidR="001D7539">
        <w:rPr>
          <w:bCs/>
          <w:iCs/>
        </w:rPr>
        <w:t xml:space="preserve">rose </w:t>
      </w:r>
      <w:r w:rsidR="008D4670">
        <w:rPr>
          <w:bCs/>
          <w:iCs/>
        </w:rPr>
        <w:t xml:space="preserve">for a second consecutive quarter in 2014, </w:t>
      </w:r>
      <w:r>
        <w:rPr>
          <w:bCs/>
          <w:iCs/>
        </w:rPr>
        <w:t>reversing the trend of decline</w:t>
      </w:r>
      <w:r w:rsidR="0039429E">
        <w:rPr>
          <w:bCs/>
          <w:iCs/>
        </w:rPr>
        <w:t>s</w:t>
      </w:r>
      <w:r>
        <w:rPr>
          <w:bCs/>
          <w:iCs/>
        </w:rPr>
        <w:t xml:space="preserve"> in the number </w:t>
      </w:r>
      <w:r w:rsidR="00C070E4">
        <w:rPr>
          <w:bCs/>
          <w:iCs/>
        </w:rPr>
        <w:t xml:space="preserve">of </w:t>
      </w:r>
      <w:r>
        <w:rPr>
          <w:bCs/>
          <w:iCs/>
        </w:rPr>
        <w:t xml:space="preserve">working </w:t>
      </w:r>
      <w:r w:rsidR="00D34368">
        <w:rPr>
          <w:bCs/>
          <w:iCs/>
        </w:rPr>
        <w:t xml:space="preserve">residents </w:t>
      </w:r>
      <w:r w:rsidR="00BD4AAF">
        <w:rPr>
          <w:bCs/>
          <w:iCs/>
        </w:rPr>
        <w:t>of</w:t>
      </w:r>
      <w:r w:rsidR="0039429E">
        <w:rPr>
          <w:bCs/>
          <w:iCs/>
        </w:rPr>
        <w:t xml:space="preserve"> </w:t>
      </w:r>
      <w:r>
        <w:rPr>
          <w:bCs/>
          <w:iCs/>
        </w:rPr>
        <w:t>the second half of last year</w:t>
      </w:r>
      <w:r w:rsidR="00D3172A">
        <w:rPr>
          <w:bCs/>
          <w:iCs/>
        </w:rPr>
        <w:t xml:space="preserve">. </w:t>
      </w:r>
      <w:r w:rsidR="00C070E4">
        <w:rPr>
          <w:bCs/>
          <w:iCs/>
        </w:rPr>
        <w:t xml:space="preserve"> </w:t>
      </w:r>
    </w:p>
    <w:p w:rsidR="00C070E4" w:rsidRDefault="00C070E4" w:rsidP="004660FF">
      <w:pPr>
        <w:tabs>
          <w:tab w:val="left" w:pos="990"/>
          <w:tab w:val="left" w:pos="1710"/>
          <w:tab w:val="left" w:pos="2430"/>
          <w:tab w:val="left" w:pos="3150"/>
          <w:tab w:val="left" w:pos="3870"/>
          <w:tab w:val="left" w:pos="4590"/>
          <w:tab w:val="left" w:pos="5310"/>
          <w:tab w:val="left" w:pos="6030"/>
          <w:tab w:val="left" w:pos="6750"/>
          <w:tab w:val="left" w:pos="7470"/>
          <w:tab w:val="left" w:pos="8190"/>
        </w:tabs>
        <w:rPr>
          <w:bCs/>
          <w:iCs/>
        </w:rPr>
      </w:pPr>
    </w:p>
    <w:p w:rsidR="004660FF" w:rsidRPr="00D34368" w:rsidRDefault="001507B2" w:rsidP="004660FF">
      <w:pPr>
        <w:tabs>
          <w:tab w:val="left" w:pos="990"/>
          <w:tab w:val="left" w:pos="1710"/>
          <w:tab w:val="left" w:pos="2430"/>
          <w:tab w:val="left" w:pos="3150"/>
          <w:tab w:val="left" w:pos="3870"/>
          <w:tab w:val="left" w:pos="4590"/>
          <w:tab w:val="left" w:pos="5310"/>
          <w:tab w:val="left" w:pos="6030"/>
          <w:tab w:val="left" w:pos="6750"/>
          <w:tab w:val="left" w:pos="7470"/>
          <w:tab w:val="left" w:pos="8190"/>
        </w:tabs>
        <w:rPr>
          <w:bCs/>
          <w:iCs/>
        </w:rPr>
      </w:pPr>
      <w:r>
        <w:rPr>
          <w:bCs/>
          <w:iCs/>
        </w:rPr>
        <w:t xml:space="preserve">The </w:t>
      </w:r>
      <w:r w:rsidR="00197B64">
        <w:t>number of</w:t>
      </w:r>
      <w:r w:rsidR="00197B64" w:rsidRPr="00EE7893">
        <w:t xml:space="preserve"> </w:t>
      </w:r>
      <w:r w:rsidR="0039429E">
        <w:t xml:space="preserve">working </w:t>
      </w:r>
      <w:r w:rsidR="00197B64">
        <w:t xml:space="preserve">Peoria-Pekin MSA residents </w:t>
      </w:r>
      <w:r w:rsidR="00197B64">
        <w:rPr>
          <w:bCs/>
          <w:iCs/>
        </w:rPr>
        <w:t xml:space="preserve">rose 1.5% from the previous quarter, for an average of 180,605 working residents during the quarter.  </w:t>
      </w:r>
      <w:r w:rsidR="00C070E4">
        <w:rPr>
          <w:bCs/>
          <w:iCs/>
        </w:rPr>
        <w:t>Se</w:t>
      </w:r>
      <w:r w:rsidR="00197B64">
        <w:rPr>
          <w:bCs/>
          <w:iCs/>
        </w:rPr>
        <w:t xml:space="preserve">cond quarter growth in the number of </w:t>
      </w:r>
      <w:r w:rsidR="00C070E4">
        <w:rPr>
          <w:bCs/>
          <w:iCs/>
        </w:rPr>
        <w:t xml:space="preserve">working </w:t>
      </w:r>
      <w:r w:rsidR="00197B64">
        <w:t>Peoria-Pekin MSA residents</w:t>
      </w:r>
      <w:r w:rsidR="00197B64">
        <w:rPr>
          <w:bCs/>
          <w:iCs/>
        </w:rPr>
        <w:t xml:space="preserve"> </w:t>
      </w:r>
      <w:r w:rsidR="004D05D8">
        <w:rPr>
          <w:bCs/>
          <w:iCs/>
        </w:rPr>
        <w:t xml:space="preserve">pushed </w:t>
      </w:r>
      <w:r w:rsidR="00197B64">
        <w:rPr>
          <w:bCs/>
          <w:iCs/>
        </w:rPr>
        <w:t xml:space="preserve">the local unemployment rate </w:t>
      </w:r>
      <w:r w:rsidR="004D05D8">
        <w:rPr>
          <w:bCs/>
          <w:iCs/>
        </w:rPr>
        <w:t xml:space="preserve">down </w:t>
      </w:r>
      <w:r w:rsidR="00197B64">
        <w:rPr>
          <w:bCs/>
          <w:iCs/>
        </w:rPr>
        <w:t>to 8.0% in the second</w:t>
      </w:r>
      <w:r w:rsidR="004660FF">
        <w:rPr>
          <w:bCs/>
          <w:iCs/>
        </w:rPr>
        <w:t xml:space="preserve"> quarter</w:t>
      </w:r>
      <w:r w:rsidR="00197B64">
        <w:rPr>
          <w:bCs/>
          <w:iCs/>
        </w:rPr>
        <w:t xml:space="preserve"> from 9.1% </w:t>
      </w:r>
      <w:r w:rsidR="00C070E4">
        <w:rPr>
          <w:bCs/>
          <w:iCs/>
        </w:rPr>
        <w:t>in t</w:t>
      </w:r>
      <w:r w:rsidR="00197B64">
        <w:rPr>
          <w:bCs/>
          <w:iCs/>
        </w:rPr>
        <w:t>he first quarter.</w:t>
      </w:r>
      <w:r w:rsidR="004660FF">
        <w:rPr>
          <w:bCs/>
          <w:iCs/>
        </w:rPr>
        <w:t xml:space="preserve">  </w:t>
      </w:r>
      <w:r w:rsidR="00D3172A">
        <w:rPr>
          <w:bCs/>
          <w:iCs/>
        </w:rPr>
        <w:t xml:space="preserve"> </w:t>
      </w:r>
      <w:r w:rsidR="00C070E4">
        <w:rPr>
          <w:bCs/>
          <w:iCs/>
        </w:rPr>
        <w:t>Declining unemployment is</w:t>
      </w:r>
      <w:r w:rsidR="004660FF">
        <w:rPr>
          <w:bCs/>
          <w:iCs/>
        </w:rPr>
        <w:t xml:space="preserve"> </w:t>
      </w:r>
      <w:r w:rsidR="00C070E4">
        <w:rPr>
          <w:bCs/>
          <w:iCs/>
        </w:rPr>
        <w:t xml:space="preserve">found also </w:t>
      </w:r>
      <w:r w:rsidR="004660FF">
        <w:rPr>
          <w:bCs/>
          <w:iCs/>
        </w:rPr>
        <w:t>for the state, w</w:t>
      </w:r>
      <w:r w:rsidR="00C070E4">
        <w:rPr>
          <w:bCs/>
          <w:iCs/>
        </w:rPr>
        <w:t>ith a 1</w:t>
      </w:r>
      <w:r w:rsidR="004660FF">
        <w:rPr>
          <w:bCs/>
          <w:iCs/>
        </w:rPr>
        <w:t xml:space="preserve">.1 percentage point </w:t>
      </w:r>
      <w:r w:rsidR="004660FF">
        <w:t xml:space="preserve">decline in the </w:t>
      </w:r>
      <w:r w:rsidR="00C070E4">
        <w:t xml:space="preserve">second quarter </w:t>
      </w:r>
      <w:r w:rsidR="004660FF">
        <w:t>Illinois unemployment rate.</w:t>
      </w:r>
    </w:p>
    <w:p w:rsidR="00207E12" w:rsidRDefault="00207E12" w:rsidP="00FC2C95">
      <w:pPr>
        <w:tabs>
          <w:tab w:val="left" w:pos="990"/>
          <w:tab w:val="left" w:pos="1710"/>
          <w:tab w:val="left" w:pos="2430"/>
          <w:tab w:val="left" w:pos="3150"/>
          <w:tab w:val="left" w:pos="3870"/>
          <w:tab w:val="left" w:pos="4590"/>
          <w:tab w:val="left" w:pos="5310"/>
          <w:tab w:val="left" w:pos="6030"/>
          <w:tab w:val="left" w:pos="6750"/>
          <w:tab w:val="left" w:pos="7470"/>
          <w:tab w:val="left" w:pos="8190"/>
        </w:tabs>
        <w:ind w:left="990" w:hanging="990"/>
        <w:rPr>
          <w:bCs/>
          <w:iCs/>
        </w:rPr>
      </w:pPr>
    </w:p>
    <w:p w:rsidR="0078056D" w:rsidRDefault="0078056D" w:rsidP="00A27F88">
      <w:pPr>
        <w:tabs>
          <w:tab w:val="left" w:pos="990"/>
          <w:tab w:val="left" w:pos="1710"/>
          <w:tab w:val="left" w:pos="2430"/>
          <w:tab w:val="left" w:pos="3150"/>
          <w:tab w:val="left" w:pos="3870"/>
          <w:tab w:val="left" w:pos="4590"/>
          <w:tab w:val="left" w:pos="5310"/>
          <w:tab w:val="left" w:pos="6030"/>
          <w:tab w:val="left" w:pos="6750"/>
          <w:tab w:val="left" w:pos="7470"/>
          <w:tab w:val="left" w:pos="8190"/>
        </w:tabs>
        <w:ind w:left="990" w:hanging="990"/>
      </w:pPr>
      <w:r>
        <w:t>M</w:t>
      </w:r>
      <w:r w:rsidR="00A27F88">
        <w:t>anufacturing</w:t>
      </w:r>
      <w:r w:rsidR="0039429E">
        <w:t>,</w:t>
      </w:r>
      <w:r w:rsidR="00A27F88">
        <w:t xml:space="preserve"> reduced the number of people on their payrolls</w:t>
      </w:r>
      <w:r>
        <w:t xml:space="preserve"> </w:t>
      </w:r>
      <w:r w:rsidR="00A27F88">
        <w:t>1.6% from the previous quarter. At the</w:t>
      </w:r>
      <w:r w:rsidR="0039429E">
        <w:t xml:space="preserve"> </w:t>
      </w:r>
    </w:p>
    <w:p w:rsidR="00BD4AAF" w:rsidRDefault="00A27F88" w:rsidP="00A27F88">
      <w:pPr>
        <w:tabs>
          <w:tab w:val="left" w:pos="990"/>
          <w:tab w:val="left" w:pos="1710"/>
          <w:tab w:val="left" w:pos="2430"/>
          <w:tab w:val="left" w:pos="3150"/>
          <w:tab w:val="left" w:pos="3870"/>
          <w:tab w:val="left" w:pos="4590"/>
          <w:tab w:val="left" w:pos="5310"/>
          <w:tab w:val="left" w:pos="6030"/>
          <w:tab w:val="left" w:pos="6750"/>
          <w:tab w:val="left" w:pos="7470"/>
          <w:tab w:val="left" w:pos="8190"/>
        </w:tabs>
        <w:ind w:left="990" w:hanging="990"/>
      </w:pPr>
      <w:r>
        <w:t>same time, national</w:t>
      </w:r>
      <w:r w:rsidR="00BD4AAF">
        <w:t xml:space="preserve"> data for </w:t>
      </w:r>
      <w:r>
        <w:t>durable goods manufactur</w:t>
      </w:r>
      <w:r w:rsidR="0039429E">
        <w:t xml:space="preserve">ers </w:t>
      </w:r>
      <w:r w:rsidR="00BD4AAF">
        <w:t xml:space="preserve">show that they </w:t>
      </w:r>
      <w:r w:rsidR="0039429E">
        <w:t xml:space="preserve">boosted </w:t>
      </w:r>
      <w:r>
        <w:t>second quarter</w:t>
      </w:r>
    </w:p>
    <w:p w:rsidR="00A27F88" w:rsidRDefault="00A27F88" w:rsidP="00A27F88">
      <w:pPr>
        <w:tabs>
          <w:tab w:val="left" w:pos="990"/>
          <w:tab w:val="left" w:pos="1710"/>
          <w:tab w:val="left" w:pos="2430"/>
          <w:tab w:val="left" w:pos="3150"/>
          <w:tab w:val="left" w:pos="3870"/>
          <w:tab w:val="left" w:pos="4590"/>
          <w:tab w:val="left" w:pos="5310"/>
          <w:tab w:val="left" w:pos="6030"/>
          <w:tab w:val="left" w:pos="6750"/>
          <w:tab w:val="left" w:pos="7470"/>
          <w:tab w:val="left" w:pos="8190"/>
        </w:tabs>
        <w:ind w:left="990" w:hanging="990"/>
      </w:pPr>
      <w:r>
        <w:t xml:space="preserve"> </w:t>
      </w:r>
      <w:r w:rsidR="0039429E">
        <w:t xml:space="preserve">employee </w:t>
      </w:r>
      <w:r>
        <w:t>hours</w:t>
      </w:r>
      <w:r w:rsidR="0039429E">
        <w:t xml:space="preserve"> </w:t>
      </w:r>
      <w:r>
        <w:t>worked, with</w:t>
      </w:r>
      <w:r w:rsidR="00BD4AAF">
        <w:t xml:space="preserve"> </w:t>
      </w:r>
      <w:r>
        <w:t xml:space="preserve"> </w:t>
      </w:r>
      <w:r w:rsidR="0039429E">
        <w:t xml:space="preserve">average </w:t>
      </w:r>
      <w:r>
        <w:t xml:space="preserve">factory overtime up 5.2% from the previous quarter. </w:t>
      </w:r>
    </w:p>
    <w:p w:rsidR="00A27F88" w:rsidRDefault="00A27F88" w:rsidP="00A27F88">
      <w:pPr>
        <w:tabs>
          <w:tab w:val="left" w:pos="990"/>
          <w:tab w:val="left" w:pos="1710"/>
          <w:tab w:val="left" w:pos="2430"/>
          <w:tab w:val="left" w:pos="3150"/>
          <w:tab w:val="left" w:pos="3870"/>
          <w:tab w:val="left" w:pos="4590"/>
          <w:tab w:val="left" w:pos="5310"/>
          <w:tab w:val="left" w:pos="6030"/>
          <w:tab w:val="left" w:pos="6750"/>
          <w:tab w:val="left" w:pos="7470"/>
          <w:tab w:val="left" w:pos="8190"/>
        </w:tabs>
        <w:ind w:left="990" w:hanging="990"/>
      </w:pPr>
    </w:p>
    <w:p w:rsidR="0078056D" w:rsidRDefault="0078056D" w:rsidP="0078056D">
      <w:pPr>
        <w:tabs>
          <w:tab w:val="left" w:pos="990"/>
          <w:tab w:val="left" w:pos="1710"/>
          <w:tab w:val="left" w:pos="2430"/>
          <w:tab w:val="left" w:pos="3150"/>
          <w:tab w:val="left" w:pos="3870"/>
          <w:tab w:val="left" w:pos="4590"/>
          <w:tab w:val="left" w:pos="5310"/>
          <w:tab w:val="left" w:pos="6030"/>
          <w:tab w:val="left" w:pos="6750"/>
          <w:tab w:val="left" w:pos="7470"/>
          <w:tab w:val="left" w:pos="8190"/>
        </w:tabs>
      </w:pPr>
      <w:r>
        <w:t xml:space="preserve">Retail and Wholesale Trade employers reduced the number of persons on their payrolls by 1.4% from </w:t>
      </w:r>
      <w:r w:rsidR="00BD4AAF">
        <w:t>t</w:t>
      </w:r>
      <w:r>
        <w:t xml:space="preserve">he previous quarter, Hospitality/Entertainment (a category dominated by restaurants) employers reduced the number of persons on their payrolls 0.6% in the quarter.  </w:t>
      </w:r>
      <w:r w:rsidR="00BD4AAF">
        <w:t>The e</w:t>
      </w:r>
      <w:r>
        <w:t xml:space="preserve">stimated second quarter 2014 </w:t>
      </w:r>
      <w:r w:rsidR="00BD4AAF">
        <w:t xml:space="preserve">area </w:t>
      </w:r>
      <w:r>
        <w:t xml:space="preserve">retail sales were </w:t>
      </w:r>
      <w:r w:rsidR="00BD4AAF">
        <w:t xml:space="preserve">up </w:t>
      </w:r>
      <w:r>
        <w:t xml:space="preserve">1.9% </w:t>
      </w:r>
      <w:r w:rsidR="00BD4AAF">
        <w:t xml:space="preserve">from </w:t>
      </w:r>
      <w:r>
        <w:t xml:space="preserve">the year before, slightly above inflation for the period  The CBER’s Retail Sales Index shows stable inflation adjusted sales, with little change from the previous quarter.  </w:t>
      </w:r>
      <w:r w:rsidR="00BD4AAF">
        <w:t xml:space="preserve"> These r</w:t>
      </w:r>
      <w:r>
        <w:t>etail revenues should help support employment in the secto</w:t>
      </w:r>
      <w:r w:rsidR="00BD4AAF">
        <w:t>r</w:t>
      </w:r>
    </w:p>
    <w:p w:rsidR="0078056D" w:rsidRDefault="0078056D" w:rsidP="0039429E">
      <w:pPr>
        <w:tabs>
          <w:tab w:val="left" w:pos="990"/>
          <w:tab w:val="left" w:pos="1710"/>
          <w:tab w:val="left" w:pos="2430"/>
          <w:tab w:val="left" w:pos="3150"/>
          <w:tab w:val="left" w:pos="3870"/>
          <w:tab w:val="left" w:pos="4590"/>
          <w:tab w:val="left" w:pos="5310"/>
          <w:tab w:val="left" w:pos="6030"/>
          <w:tab w:val="left" w:pos="6750"/>
          <w:tab w:val="left" w:pos="7470"/>
          <w:tab w:val="left" w:pos="8190"/>
        </w:tabs>
      </w:pPr>
    </w:p>
    <w:p w:rsidR="0039429E" w:rsidRDefault="0078056D" w:rsidP="0039429E">
      <w:pPr>
        <w:tabs>
          <w:tab w:val="left" w:pos="990"/>
          <w:tab w:val="left" w:pos="1710"/>
          <w:tab w:val="left" w:pos="2430"/>
          <w:tab w:val="left" w:pos="3150"/>
          <w:tab w:val="left" w:pos="3870"/>
          <w:tab w:val="left" w:pos="4590"/>
          <w:tab w:val="left" w:pos="5310"/>
          <w:tab w:val="left" w:pos="6030"/>
          <w:tab w:val="left" w:pos="6750"/>
          <w:tab w:val="left" w:pos="7470"/>
          <w:tab w:val="left" w:pos="8190"/>
        </w:tabs>
      </w:pPr>
      <w:r>
        <w:t xml:space="preserve">Heath Care </w:t>
      </w:r>
      <w:r w:rsidR="0039429E">
        <w:t xml:space="preserve">maintained the number of people on </w:t>
      </w:r>
      <w:r>
        <w:t xml:space="preserve">its </w:t>
      </w:r>
      <w:r w:rsidR="0039429E">
        <w:t>payrolls, with t</w:t>
      </w:r>
      <w:r w:rsidR="0039429E">
        <w:rPr>
          <w:bCs/>
          <w:iCs/>
        </w:rPr>
        <w:t xml:space="preserve">he CBER estimate of </w:t>
      </w:r>
      <w:r w:rsidR="002734AB">
        <w:rPr>
          <w:bCs/>
          <w:iCs/>
        </w:rPr>
        <w:t xml:space="preserve">the number of </w:t>
      </w:r>
      <w:r w:rsidR="0039429E">
        <w:rPr>
          <w:bCs/>
          <w:iCs/>
        </w:rPr>
        <w:t>jobs in the industry little changed from th</w:t>
      </w:r>
      <w:r>
        <w:rPr>
          <w:bCs/>
          <w:iCs/>
        </w:rPr>
        <w:t xml:space="preserve">e previous quarter and year.   The </w:t>
      </w:r>
      <w:hyperlink r:id="rId9" w:history="1">
        <w:r w:rsidR="0039429E" w:rsidRPr="009932D7">
          <w:rPr>
            <w:rStyle w:val="Hyperlink"/>
            <w:bCs/>
            <w:iCs/>
            <w:color w:val="auto"/>
            <w:u w:val="none"/>
          </w:rPr>
          <w:t>2.2%</w:t>
        </w:r>
      </w:hyperlink>
      <w:r w:rsidR="0039429E">
        <w:rPr>
          <w:bCs/>
          <w:iCs/>
        </w:rPr>
        <w:t xml:space="preserve">  increase over last year in </w:t>
      </w:r>
      <w:r>
        <w:rPr>
          <w:bCs/>
          <w:iCs/>
        </w:rPr>
        <w:t xml:space="preserve">estimated </w:t>
      </w:r>
      <w:r w:rsidR="0039429E">
        <w:rPr>
          <w:bCs/>
          <w:iCs/>
        </w:rPr>
        <w:t>s</w:t>
      </w:r>
      <w:r w:rsidR="0039429E">
        <w:t xml:space="preserve">econd quarter 2014 Hospital Revenue Index </w:t>
      </w:r>
      <w:r>
        <w:t xml:space="preserve">should </w:t>
      </w:r>
      <w:r w:rsidR="0039429E">
        <w:t>help support this sector.</w:t>
      </w:r>
    </w:p>
    <w:p w:rsidR="002734AB" w:rsidRDefault="002734AB" w:rsidP="002734AB">
      <w:pPr>
        <w:tabs>
          <w:tab w:val="left" w:pos="990"/>
          <w:tab w:val="left" w:pos="1710"/>
          <w:tab w:val="left" w:pos="2430"/>
          <w:tab w:val="left" w:pos="3150"/>
          <w:tab w:val="left" w:pos="3870"/>
          <w:tab w:val="left" w:pos="4590"/>
          <w:tab w:val="left" w:pos="5310"/>
          <w:tab w:val="left" w:pos="6030"/>
          <w:tab w:val="left" w:pos="6750"/>
          <w:tab w:val="left" w:pos="7470"/>
          <w:tab w:val="left" w:pos="8190"/>
        </w:tabs>
        <w:ind w:left="990" w:hanging="990"/>
      </w:pPr>
    </w:p>
    <w:p w:rsidR="003949C3" w:rsidRDefault="003949C3" w:rsidP="002734AB">
      <w:pPr>
        <w:tabs>
          <w:tab w:val="left" w:pos="990"/>
          <w:tab w:val="left" w:pos="1710"/>
          <w:tab w:val="left" w:pos="2430"/>
          <w:tab w:val="left" w:pos="3150"/>
          <w:tab w:val="left" w:pos="3870"/>
          <w:tab w:val="left" w:pos="4590"/>
          <w:tab w:val="left" w:pos="5310"/>
          <w:tab w:val="left" w:pos="6030"/>
          <w:tab w:val="left" w:pos="6750"/>
          <w:tab w:val="left" w:pos="7470"/>
          <w:tab w:val="left" w:pos="8190"/>
        </w:tabs>
        <w:ind w:left="990" w:hanging="990"/>
        <w:rPr>
          <w:bCs/>
          <w:iCs/>
        </w:rPr>
      </w:pPr>
      <w:r>
        <w:rPr>
          <w:bCs/>
          <w:iCs/>
        </w:rPr>
        <w:t>The</w:t>
      </w:r>
      <w:r w:rsidR="0078056D">
        <w:rPr>
          <w:bCs/>
          <w:iCs/>
        </w:rPr>
        <w:t xml:space="preserve"> 201</w:t>
      </w:r>
      <w:r>
        <w:rPr>
          <w:bCs/>
          <w:iCs/>
        </w:rPr>
        <w:t>4 increases in the number of people working (</w:t>
      </w:r>
      <w:r w:rsidR="0078056D">
        <w:rPr>
          <w:bCs/>
          <w:iCs/>
        </w:rPr>
        <w:t xml:space="preserve">which </w:t>
      </w:r>
      <w:r>
        <w:rPr>
          <w:bCs/>
          <w:iCs/>
        </w:rPr>
        <w:t xml:space="preserve">includes both people working on employer </w:t>
      </w:r>
    </w:p>
    <w:p w:rsidR="0078056D" w:rsidRDefault="003949C3" w:rsidP="002734AB">
      <w:pPr>
        <w:tabs>
          <w:tab w:val="left" w:pos="990"/>
          <w:tab w:val="left" w:pos="1710"/>
          <w:tab w:val="left" w:pos="2430"/>
          <w:tab w:val="left" w:pos="3150"/>
          <w:tab w:val="left" w:pos="3870"/>
          <w:tab w:val="left" w:pos="4590"/>
          <w:tab w:val="left" w:pos="5310"/>
          <w:tab w:val="left" w:pos="6030"/>
          <w:tab w:val="left" w:pos="6750"/>
          <w:tab w:val="left" w:pos="7470"/>
          <w:tab w:val="left" w:pos="8190"/>
        </w:tabs>
        <w:ind w:left="990" w:hanging="990"/>
        <w:rPr>
          <w:bCs/>
          <w:iCs/>
        </w:rPr>
      </w:pPr>
      <w:r>
        <w:rPr>
          <w:bCs/>
          <w:iCs/>
        </w:rPr>
        <w:t>payrolls and those self employed) should continue</w:t>
      </w:r>
      <w:r w:rsidR="00BD4AAF">
        <w:rPr>
          <w:bCs/>
          <w:iCs/>
        </w:rPr>
        <w:t xml:space="preserve">. </w:t>
      </w:r>
      <w:r w:rsidR="002734AB">
        <w:rPr>
          <w:bCs/>
          <w:iCs/>
        </w:rPr>
        <w:t xml:space="preserve">Local employers </w:t>
      </w:r>
      <w:r w:rsidR="00D9793A">
        <w:rPr>
          <w:bCs/>
          <w:iCs/>
        </w:rPr>
        <w:t xml:space="preserve">are looking to increase </w:t>
      </w:r>
      <w:r w:rsidR="002734AB">
        <w:rPr>
          <w:bCs/>
          <w:iCs/>
        </w:rPr>
        <w:t xml:space="preserve">hiring </w:t>
      </w:r>
      <w:r w:rsidR="00D9793A">
        <w:rPr>
          <w:bCs/>
          <w:iCs/>
        </w:rPr>
        <w:t>in</w:t>
      </w:r>
    </w:p>
    <w:p w:rsidR="0078056D" w:rsidRDefault="00D9793A" w:rsidP="002734AB">
      <w:pPr>
        <w:tabs>
          <w:tab w:val="left" w:pos="990"/>
          <w:tab w:val="left" w:pos="1710"/>
          <w:tab w:val="left" w:pos="2430"/>
          <w:tab w:val="left" w:pos="3150"/>
          <w:tab w:val="left" w:pos="3870"/>
          <w:tab w:val="left" w:pos="4590"/>
          <w:tab w:val="left" w:pos="5310"/>
          <w:tab w:val="left" w:pos="6030"/>
          <w:tab w:val="left" w:pos="6750"/>
          <w:tab w:val="left" w:pos="7470"/>
          <w:tab w:val="left" w:pos="8190"/>
        </w:tabs>
        <w:ind w:left="990" w:hanging="990"/>
        <w:rPr>
          <w:bCs/>
          <w:iCs/>
        </w:rPr>
      </w:pPr>
      <w:r>
        <w:rPr>
          <w:bCs/>
          <w:iCs/>
        </w:rPr>
        <w:t xml:space="preserve"> the m</w:t>
      </w:r>
      <w:r w:rsidR="002734AB">
        <w:rPr>
          <w:bCs/>
          <w:iCs/>
        </w:rPr>
        <w:t>on</w:t>
      </w:r>
      <w:r>
        <w:rPr>
          <w:bCs/>
          <w:iCs/>
        </w:rPr>
        <w:t xml:space="preserve">ths ahead, </w:t>
      </w:r>
      <w:r w:rsidR="003949C3">
        <w:rPr>
          <w:bCs/>
          <w:iCs/>
        </w:rPr>
        <w:t xml:space="preserve">as indicated by </w:t>
      </w:r>
      <w:r w:rsidR="002734AB">
        <w:rPr>
          <w:bCs/>
          <w:iCs/>
        </w:rPr>
        <w:t>th</w:t>
      </w:r>
      <w:r w:rsidR="003949C3">
        <w:rPr>
          <w:bCs/>
          <w:iCs/>
        </w:rPr>
        <w:t>e</w:t>
      </w:r>
      <w:r w:rsidR="002734AB">
        <w:rPr>
          <w:bCs/>
          <w:iCs/>
        </w:rPr>
        <w:t xml:space="preserve">ir </w:t>
      </w:r>
      <w:r w:rsidR="003949C3">
        <w:rPr>
          <w:bCs/>
          <w:iCs/>
        </w:rPr>
        <w:t xml:space="preserve">increasing </w:t>
      </w:r>
      <w:r>
        <w:rPr>
          <w:bCs/>
          <w:iCs/>
        </w:rPr>
        <w:t xml:space="preserve">postings of job </w:t>
      </w:r>
      <w:r w:rsidR="003949C3">
        <w:rPr>
          <w:bCs/>
          <w:iCs/>
        </w:rPr>
        <w:t>o</w:t>
      </w:r>
      <w:r>
        <w:rPr>
          <w:bCs/>
          <w:iCs/>
        </w:rPr>
        <w:t>pening</w:t>
      </w:r>
      <w:r w:rsidR="003949C3">
        <w:rPr>
          <w:bCs/>
          <w:iCs/>
        </w:rPr>
        <w:t xml:space="preserve">s by </w:t>
      </w:r>
      <w:r w:rsidR="002734AB">
        <w:rPr>
          <w:bCs/>
          <w:iCs/>
        </w:rPr>
        <w:t xml:space="preserve">9.1% </w:t>
      </w:r>
      <w:r>
        <w:rPr>
          <w:bCs/>
          <w:iCs/>
        </w:rPr>
        <w:t xml:space="preserve">in the </w:t>
      </w:r>
      <w:r w:rsidR="002734AB">
        <w:rPr>
          <w:bCs/>
          <w:iCs/>
        </w:rPr>
        <w:t>second</w:t>
      </w:r>
    </w:p>
    <w:p w:rsidR="00BD4AAF" w:rsidRDefault="002734AB" w:rsidP="002734AB">
      <w:pPr>
        <w:tabs>
          <w:tab w:val="left" w:pos="990"/>
          <w:tab w:val="left" w:pos="1710"/>
          <w:tab w:val="left" w:pos="2430"/>
          <w:tab w:val="left" w:pos="3150"/>
          <w:tab w:val="left" w:pos="3870"/>
          <w:tab w:val="left" w:pos="4590"/>
          <w:tab w:val="left" w:pos="5310"/>
          <w:tab w:val="left" w:pos="6030"/>
          <w:tab w:val="left" w:pos="6750"/>
          <w:tab w:val="left" w:pos="7470"/>
          <w:tab w:val="left" w:pos="8190"/>
        </w:tabs>
        <w:ind w:left="990" w:hanging="990"/>
        <w:rPr>
          <w:bCs/>
          <w:iCs/>
        </w:rPr>
      </w:pPr>
      <w:r>
        <w:rPr>
          <w:bCs/>
          <w:iCs/>
        </w:rPr>
        <w:t>quarter</w:t>
      </w:r>
      <w:r w:rsidR="00D9793A">
        <w:rPr>
          <w:bCs/>
          <w:iCs/>
        </w:rPr>
        <w:t>.</w:t>
      </w:r>
      <w:r w:rsidR="003949C3">
        <w:rPr>
          <w:bCs/>
          <w:iCs/>
        </w:rPr>
        <w:t xml:space="preserve">  </w:t>
      </w:r>
      <w:r w:rsidR="00B828D9">
        <w:rPr>
          <w:bCs/>
          <w:iCs/>
        </w:rPr>
        <w:t>I</w:t>
      </w:r>
      <w:r w:rsidR="003949C3">
        <w:rPr>
          <w:bCs/>
          <w:iCs/>
        </w:rPr>
        <w:t xml:space="preserve">ncreases in </w:t>
      </w:r>
      <w:r w:rsidR="00B828D9">
        <w:rPr>
          <w:bCs/>
          <w:iCs/>
        </w:rPr>
        <w:t xml:space="preserve">the numbers of </w:t>
      </w:r>
      <w:r w:rsidR="003949C3">
        <w:rPr>
          <w:bCs/>
          <w:iCs/>
        </w:rPr>
        <w:t xml:space="preserve">local self employed </w:t>
      </w:r>
      <w:r w:rsidR="0078056D">
        <w:rPr>
          <w:bCs/>
          <w:iCs/>
        </w:rPr>
        <w:t xml:space="preserve">should </w:t>
      </w:r>
      <w:r w:rsidR="00BD4AAF">
        <w:rPr>
          <w:bCs/>
          <w:iCs/>
        </w:rPr>
        <w:t xml:space="preserve">be supported by their </w:t>
      </w:r>
      <w:r w:rsidR="003949C3">
        <w:rPr>
          <w:bCs/>
          <w:iCs/>
        </w:rPr>
        <w:t xml:space="preserve">improved access </w:t>
      </w:r>
    </w:p>
    <w:p w:rsidR="003949C3" w:rsidRDefault="003949C3" w:rsidP="002734AB">
      <w:pPr>
        <w:tabs>
          <w:tab w:val="left" w:pos="990"/>
          <w:tab w:val="left" w:pos="1710"/>
          <w:tab w:val="left" w:pos="2430"/>
          <w:tab w:val="left" w:pos="3150"/>
          <w:tab w:val="left" w:pos="3870"/>
          <w:tab w:val="left" w:pos="4590"/>
          <w:tab w:val="left" w:pos="5310"/>
          <w:tab w:val="left" w:pos="6030"/>
          <w:tab w:val="left" w:pos="6750"/>
          <w:tab w:val="left" w:pos="7470"/>
          <w:tab w:val="left" w:pos="8190"/>
        </w:tabs>
        <w:ind w:left="990" w:hanging="990"/>
        <w:rPr>
          <w:bCs/>
          <w:iCs/>
        </w:rPr>
      </w:pPr>
      <w:r>
        <w:rPr>
          <w:bCs/>
          <w:iCs/>
        </w:rPr>
        <w:t>to health</w:t>
      </w:r>
      <w:r w:rsidR="00BD4AAF">
        <w:rPr>
          <w:bCs/>
          <w:iCs/>
        </w:rPr>
        <w:t xml:space="preserve"> </w:t>
      </w:r>
      <w:r>
        <w:rPr>
          <w:bCs/>
          <w:iCs/>
        </w:rPr>
        <w:t xml:space="preserve"> insurance </w:t>
      </w:r>
      <w:r w:rsidR="00BD4AAF">
        <w:rPr>
          <w:bCs/>
          <w:iCs/>
        </w:rPr>
        <w:t xml:space="preserve">from Illinois </w:t>
      </w:r>
      <w:r w:rsidR="00B828D9">
        <w:rPr>
          <w:bCs/>
          <w:iCs/>
        </w:rPr>
        <w:t xml:space="preserve">health  insurance </w:t>
      </w:r>
      <w:r>
        <w:rPr>
          <w:bCs/>
          <w:iCs/>
        </w:rPr>
        <w:t>exchanges.</w:t>
      </w:r>
    </w:p>
    <w:p w:rsidR="003949C3" w:rsidRDefault="003949C3" w:rsidP="002734AB">
      <w:pPr>
        <w:tabs>
          <w:tab w:val="left" w:pos="990"/>
          <w:tab w:val="left" w:pos="1710"/>
          <w:tab w:val="left" w:pos="2430"/>
          <w:tab w:val="left" w:pos="3150"/>
          <w:tab w:val="left" w:pos="3870"/>
          <w:tab w:val="left" w:pos="4590"/>
          <w:tab w:val="left" w:pos="5310"/>
          <w:tab w:val="left" w:pos="6030"/>
          <w:tab w:val="left" w:pos="6750"/>
          <w:tab w:val="left" w:pos="7470"/>
          <w:tab w:val="left" w:pos="8190"/>
        </w:tabs>
        <w:ind w:left="990" w:hanging="990"/>
        <w:rPr>
          <w:bCs/>
          <w:iCs/>
        </w:rPr>
      </w:pPr>
    </w:p>
    <w:p w:rsidR="00BD4AAF" w:rsidRDefault="00BD4AAF" w:rsidP="002734AB">
      <w:pPr>
        <w:tabs>
          <w:tab w:val="left" w:pos="990"/>
          <w:tab w:val="left" w:pos="1710"/>
          <w:tab w:val="left" w:pos="2430"/>
          <w:tab w:val="left" w:pos="3150"/>
          <w:tab w:val="left" w:pos="3870"/>
          <w:tab w:val="left" w:pos="4590"/>
          <w:tab w:val="left" w:pos="5310"/>
          <w:tab w:val="left" w:pos="6030"/>
          <w:tab w:val="left" w:pos="6750"/>
          <w:tab w:val="left" w:pos="7470"/>
          <w:tab w:val="left" w:pos="8190"/>
        </w:tabs>
        <w:ind w:left="990" w:hanging="990"/>
        <w:rPr>
          <w:bCs/>
          <w:iCs/>
        </w:rPr>
      </w:pPr>
    </w:p>
    <w:p w:rsidR="00021D15" w:rsidRDefault="00021D15" w:rsidP="001366CC">
      <w:r>
        <w:t>Homes</w:t>
      </w:r>
    </w:p>
    <w:p w:rsidR="00BF3D21" w:rsidRDefault="00BF3D21" w:rsidP="009744B1">
      <w:pPr>
        <w:tabs>
          <w:tab w:val="left" w:pos="0"/>
          <w:tab w:val="left" w:pos="900"/>
          <w:tab w:val="left" w:pos="990"/>
          <w:tab w:val="left" w:pos="1710"/>
          <w:tab w:val="left" w:pos="2430"/>
          <w:tab w:val="left" w:pos="3150"/>
          <w:tab w:val="left" w:pos="3870"/>
          <w:tab w:val="left" w:pos="4590"/>
          <w:tab w:val="left" w:pos="5310"/>
          <w:tab w:val="left" w:pos="6030"/>
          <w:tab w:val="left" w:pos="6750"/>
          <w:tab w:val="left" w:pos="7470"/>
          <w:tab w:val="left" w:pos="8190"/>
        </w:tabs>
      </w:pPr>
    </w:p>
    <w:p w:rsidR="00862E17" w:rsidRDefault="00EC5612" w:rsidP="009744B1">
      <w:pPr>
        <w:tabs>
          <w:tab w:val="left" w:pos="0"/>
          <w:tab w:val="left" w:pos="900"/>
          <w:tab w:val="left" w:pos="990"/>
          <w:tab w:val="left" w:pos="1710"/>
          <w:tab w:val="left" w:pos="2430"/>
          <w:tab w:val="left" w:pos="3150"/>
          <w:tab w:val="left" w:pos="3870"/>
          <w:tab w:val="left" w:pos="4590"/>
          <w:tab w:val="left" w:pos="5310"/>
          <w:tab w:val="left" w:pos="6030"/>
          <w:tab w:val="left" w:pos="6750"/>
          <w:tab w:val="left" w:pos="7470"/>
          <w:tab w:val="left" w:pos="8190"/>
        </w:tabs>
      </w:pPr>
      <w:r>
        <w:t xml:space="preserve">The number of homes sold in the </w:t>
      </w:r>
      <w:r w:rsidR="00350FDA">
        <w:t>second</w:t>
      </w:r>
      <w:r w:rsidR="00A75710">
        <w:t xml:space="preserve"> </w:t>
      </w:r>
      <w:r>
        <w:t xml:space="preserve">quarter </w:t>
      </w:r>
      <w:r w:rsidR="000D23F8">
        <w:t xml:space="preserve">in the Peoria-Pekin MSA </w:t>
      </w:r>
      <w:r w:rsidR="002F6E3B">
        <w:t>was 5.3</w:t>
      </w:r>
      <w:r w:rsidR="009040BE">
        <w:t xml:space="preserve">% </w:t>
      </w:r>
      <w:r w:rsidR="002F6E3B">
        <w:t xml:space="preserve">higher than </w:t>
      </w:r>
      <w:r w:rsidR="00255ECD">
        <w:t xml:space="preserve">the </w:t>
      </w:r>
      <w:r w:rsidR="009040BE">
        <w:t xml:space="preserve">year </w:t>
      </w:r>
      <w:r w:rsidR="00255ECD">
        <w:t>before</w:t>
      </w:r>
      <w:r w:rsidR="009040BE">
        <w:t xml:space="preserve">.  A separate analysis showed that the </w:t>
      </w:r>
      <w:r w:rsidR="002F6E3B">
        <w:t xml:space="preserve">increase in </w:t>
      </w:r>
      <w:r w:rsidR="003636BD">
        <w:t xml:space="preserve">the number of homes sold </w:t>
      </w:r>
      <w:r w:rsidR="009040BE">
        <w:t xml:space="preserve">was largely a result of </w:t>
      </w:r>
      <w:r w:rsidR="002F6E3B">
        <w:t xml:space="preserve">increases </w:t>
      </w:r>
      <w:r w:rsidR="00255ECD">
        <w:t>since the first quarter</w:t>
      </w:r>
      <w:r w:rsidR="003D1695">
        <w:t xml:space="preserve">, increases </w:t>
      </w:r>
      <w:r w:rsidR="002F6E3B">
        <w:t xml:space="preserve">that exceeded </w:t>
      </w:r>
      <w:r w:rsidR="003D1695">
        <w:t>those</w:t>
      </w:r>
      <w:r w:rsidR="00255ECD">
        <w:t xml:space="preserve"> </w:t>
      </w:r>
      <w:r w:rsidR="004C7B31">
        <w:t xml:space="preserve">expected </w:t>
      </w:r>
      <w:r w:rsidR="00E112F7">
        <w:t xml:space="preserve">from </w:t>
      </w:r>
      <w:r w:rsidR="004C7B31">
        <w:t>normal seasonal variation</w:t>
      </w:r>
      <w:r w:rsidR="009040BE">
        <w:t xml:space="preserve">. </w:t>
      </w:r>
      <w:r w:rsidR="006B1EAC">
        <w:t xml:space="preserve"> </w:t>
      </w:r>
      <w:r w:rsidR="002F6E3B">
        <w:t xml:space="preserve"> The </w:t>
      </w:r>
      <w:r w:rsidR="009040BE">
        <w:t>number of homes available</w:t>
      </w:r>
      <w:r w:rsidR="003636BD">
        <w:t xml:space="preserve"> for sale </w:t>
      </w:r>
      <w:r w:rsidR="004C7B31">
        <w:t xml:space="preserve">in the </w:t>
      </w:r>
      <w:r w:rsidR="00350FDA">
        <w:t>second</w:t>
      </w:r>
      <w:r w:rsidR="004C7B31">
        <w:t xml:space="preserve"> quarter </w:t>
      </w:r>
      <w:r w:rsidR="002F6E3B">
        <w:t>rose 8</w:t>
      </w:r>
      <w:r w:rsidR="00F84AE7">
        <w:t xml:space="preserve">.1% </w:t>
      </w:r>
      <w:r w:rsidR="002F6E3B">
        <w:t xml:space="preserve">from </w:t>
      </w:r>
      <w:r w:rsidR="003636BD">
        <w:t xml:space="preserve">the previous quarter, </w:t>
      </w:r>
      <w:r w:rsidR="002F6E3B">
        <w:t>reversing earlier declines</w:t>
      </w:r>
      <w:r w:rsidR="00255ECD">
        <w:t>,</w:t>
      </w:r>
      <w:r w:rsidR="002F6E3B">
        <w:t xml:space="preserve"> to put </w:t>
      </w:r>
      <w:r w:rsidR="00255ECD">
        <w:t xml:space="preserve">the number of </w:t>
      </w:r>
      <w:r w:rsidR="002F6E3B">
        <w:t xml:space="preserve">homes for sale up 6.9% from the year before. </w:t>
      </w:r>
    </w:p>
    <w:p w:rsidR="00862E17" w:rsidRDefault="00862E17" w:rsidP="009744B1">
      <w:pPr>
        <w:tabs>
          <w:tab w:val="left" w:pos="0"/>
          <w:tab w:val="left" w:pos="900"/>
          <w:tab w:val="left" w:pos="990"/>
          <w:tab w:val="left" w:pos="1710"/>
          <w:tab w:val="left" w:pos="2430"/>
          <w:tab w:val="left" w:pos="3150"/>
          <w:tab w:val="left" w:pos="3870"/>
          <w:tab w:val="left" w:pos="4590"/>
          <w:tab w:val="left" w:pos="5310"/>
          <w:tab w:val="left" w:pos="6030"/>
          <w:tab w:val="left" w:pos="6750"/>
          <w:tab w:val="left" w:pos="7470"/>
          <w:tab w:val="left" w:pos="8190"/>
        </w:tabs>
      </w:pPr>
    </w:p>
    <w:p w:rsidR="003636BD" w:rsidRDefault="002F6E3B" w:rsidP="009744B1">
      <w:pPr>
        <w:tabs>
          <w:tab w:val="left" w:pos="0"/>
          <w:tab w:val="left" w:pos="900"/>
          <w:tab w:val="left" w:pos="990"/>
          <w:tab w:val="left" w:pos="1710"/>
          <w:tab w:val="left" w:pos="2430"/>
          <w:tab w:val="left" w:pos="3150"/>
          <w:tab w:val="left" w:pos="3870"/>
          <w:tab w:val="left" w:pos="4590"/>
          <w:tab w:val="left" w:pos="5310"/>
          <w:tab w:val="left" w:pos="6030"/>
          <w:tab w:val="left" w:pos="6750"/>
          <w:tab w:val="left" w:pos="7470"/>
          <w:tab w:val="left" w:pos="8190"/>
        </w:tabs>
      </w:pPr>
      <w:r>
        <w:t>Similar trends were fo</w:t>
      </w:r>
      <w:r w:rsidR="00862E17">
        <w:t>u</w:t>
      </w:r>
      <w:r>
        <w:t xml:space="preserve">nd for </w:t>
      </w:r>
      <w:r w:rsidR="003D1695">
        <w:t xml:space="preserve">the </w:t>
      </w:r>
      <w:r w:rsidR="009040BE">
        <w:t xml:space="preserve">prices </w:t>
      </w:r>
      <w:r w:rsidR="003D1695">
        <w:t xml:space="preserve">of </w:t>
      </w:r>
      <w:r w:rsidR="009040BE">
        <w:t xml:space="preserve">homes sold </w:t>
      </w:r>
      <w:r w:rsidR="003636BD">
        <w:t xml:space="preserve">during the </w:t>
      </w:r>
      <w:r w:rsidR="00350FDA">
        <w:t>second</w:t>
      </w:r>
      <w:r w:rsidR="003636BD">
        <w:t xml:space="preserve"> quarter</w:t>
      </w:r>
      <w:r>
        <w:t xml:space="preserve">: </w:t>
      </w:r>
      <w:r w:rsidR="004C78E4">
        <w:t>P</w:t>
      </w:r>
      <w:r w:rsidR="003D1695">
        <w:t xml:space="preserve">rices paid </w:t>
      </w:r>
      <w:r w:rsidR="00255ECD">
        <w:t xml:space="preserve">rose </w:t>
      </w:r>
      <w:r>
        <w:t>7</w:t>
      </w:r>
      <w:r w:rsidR="003636BD">
        <w:t>.</w:t>
      </w:r>
      <w:r>
        <w:t>2</w:t>
      </w:r>
      <w:r w:rsidR="00F84AE7">
        <w:t>% from the previous quarter</w:t>
      </w:r>
      <w:r w:rsidR="006B1EAC">
        <w:t>,</w:t>
      </w:r>
      <w:r w:rsidR="00F84AE7">
        <w:t xml:space="preserve"> </w:t>
      </w:r>
      <w:r>
        <w:t xml:space="preserve">reversing earlier declines to put </w:t>
      </w:r>
      <w:r w:rsidR="003D1695">
        <w:t xml:space="preserve">these </w:t>
      </w:r>
      <w:r>
        <w:t>prices 6.6</w:t>
      </w:r>
      <w:r w:rsidR="006B1EAC">
        <w:t xml:space="preserve">% above </w:t>
      </w:r>
      <w:r>
        <w:t xml:space="preserve">the </w:t>
      </w:r>
      <w:r w:rsidR="003636BD">
        <w:t xml:space="preserve">year before.  At the same time, </w:t>
      </w:r>
      <w:r w:rsidR="00350FDA">
        <w:t>second</w:t>
      </w:r>
      <w:r w:rsidR="003636BD">
        <w:t xml:space="preserve"> quarter m</w:t>
      </w:r>
      <w:r w:rsidR="000E7765">
        <w:t xml:space="preserve">ortgage interest rates </w:t>
      </w:r>
      <w:r>
        <w:t xml:space="preserve">fell </w:t>
      </w:r>
      <w:r w:rsidR="003636BD">
        <w:t>0.</w:t>
      </w:r>
      <w:r>
        <w:t>2</w:t>
      </w:r>
      <w:r w:rsidR="003636BD">
        <w:t xml:space="preserve">1 </w:t>
      </w:r>
      <w:r w:rsidR="00EC5612">
        <w:t xml:space="preserve">percentage points </w:t>
      </w:r>
      <w:r>
        <w:t>from the first quarter, leaving these rates 0.11</w:t>
      </w:r>
      <w:r w:rsidR="003636BD">
        <w:t xml:space="preserve"> percentage points above the </w:t>
      </w:r>
      <w:r>
        <w:t xml:space="preserve">rates of the </w:t>
      </w:r>
      <w:r w:rsidR="003636BD">
        <w:t xml:space="preserve">same time </w:t>
      </w:r>
      <w:r w:rsidR="00EC5612">
        <w:t>last year</w:t>
      </w:r>
      <w:r w:rsidR="000E7765">
        <w:t xml:space="preserve">.  </w:t>
      </w:r>
    </w:p>
    <w:p w:rsidR="006B1EAC" w:rsidRDefault="006B1EAC" w:rsidP="009744B1">
      <w:pPr>
        <w:tabs>
          <w:tab w:val="left" w:pos="0"/>
          <w:tab w:val="left" w:pos="900"/>
          <w:tab w:val="left" w:pos="990"/>
          <w:tab w:val="left" w:pos="1710"/>
          <w:tab w:val="left" w:pos="2430"/>
          <w:tab w:val="left" w:pos="3150"/>
          <w:tab w:val="left" w:pos="3870"/>
          <w:tab w:val="left" w:pos="4590"/>
          <w:tab w:val="left" w:pos="5310"/>
          <w:tab w:val="left" w:pos="6030"/>
          <w:tab w:val="left" w:pos="6750"/>
          <w:tab w:val="left" w:pos="7470"/>
          <w:tab w:val="left" w:pos="8190"/>
        </w:tabs>
      </w:pPr>
    </w:p>
    <w:p w:rsidR="00681772" w:rsidRPr="00F61003" w:rsidRDefault="007232DA" w:rsidP="00681772">
      <w:pPr>
        <w:pStyle w:val="Heading3"/>
        <w:widowControl/>
        <w:tabs>
          <w:tab w:val="clear" w:pos="990"/>
          <w:tab w:val="clear" w:pos="1710"/>
          <w:tab w:val="clear" w:pos="2430"/>
          <w:tab w:val="clear" w:pos="3150"/>
          <w:tab w:val="clear" w:pos="3870"/>
          <w:tab w:val="clear" w:pos="4590"/>
          <w:tab w:val="clear" w:pos="5310"/>
          <w:tab w:val="clear" w:pos="6030"/>
          <w:tab w:val="clear" w:pos="6750"/>
          <w:tab w:val="clear" w:pos="7470"/>
          <w:tab w:val="clear" w:pos="8190"/>
        </w:tabs>
        <w:rPr>
          <w:rFonts w:ascii="Times New Roman" w:hAnsi="Times New Roman"/>
          <w:b w:val="0"/>
          <w:bCs/>
          <w:snapToGrid/>
          <w:szCs w:val="24"/>
        </w:rPr>
      </w:pPr>
      <w:r>
        <w:rPr>
          <w:rFonts w:ascii="Times New Roman" w:hAnsi="Times New Roman"/>
          <w:b w:val="0"/>
          <w:snapToGrid/>
          <w:szCs w:val="24"/>
        </w:rPr>
        <w:lastRenderedPageBreak/>
        <w:t xml:space="preserve">Review </w:t>
      </w:r>
      <w:r w:rsidR="00EC5612" w:rsidRPr="00F61003">
        <w:rPr>
          <w:rFonts w:ascii="Times New Roman" w:hAnsi="Times New Roman"/>
          <w:b w:val="0"/>
          <w:snapToGrid/>
          <w:szCs w:val="24"/>
        </w:rPr>
        <w:t>and</w:t>
      </w:r>
      <w:r w:rsidR="00681772" w:rsidRPr="00F61003">
        <w:rPr>
          <w:rFonts w:ascii="Times New Roman" w:hAnsi="Times New Roman"/>
          <w:b w:val="0"/>
          <w:snapToGrid/>
          <w:szCs w:val="24"/>
        </w:rPr>
        <w:t xml:space="preserve"> Outlook</w:t>
      </w:r>
    </w:p>
    <w:p w:rsidR="005C0F44" w:rsidRDefault="005C0F44" w:rsidP="002E0081">
      <w:pPr>
        <w:tabs>
          <w:tab w:val="left" w:pos="990"/>
          <w:tab w:val="left" w:pos="1710"/>
          <w:tab w:val="left" w:pos="2430"/>
          <w:tab w:val="left" w:pos="3150"/>
          <w:tab w:val="left" w:pos="3870"/>
          <w:tab w:val="left" w:pos="4590"/>
          <w:tab w:val="left" w:pos="5310"/>
          <w:tab w:val="left" w:pos="6030"/>
          <w:tab w:val="left" w:pos="6750"/>
          <w:tab w:val="left" w:pos="7470"/>
          <w:tab w:val="left" w:pos="8190"/>
        </w:tabs>
        <w:rPr>
          <w:bCs/>
        </w:rPr>
      </w:pPr>
    </w:p>
    <w:p w:rsidR="005C0F44" w:rsidRDefault="00542064" w:rsidP="002E0081">
      <w:pPr>
        <w:tabs>
          <w:tab w:val="left" w:pos="990"/>
          <w:tab w:val="left" w:pos="1710"/>
          <w:tab w:val="left" w:pos="2430"/>
          <w:tab w:val="left" w:pos="3150"/>
          <w:tab w:val="left" w:pos="3870"/>
          <w:tab w:val="left" w:pos="4590"/>
          <w:tab w:val="left" w:pos="5310"/>
          <w:tab w:val="left" w:pos="6030"/>
          <w:tab w:val="left" w:pos="6750"/>
          <w:tab w:val="left" w:pos="7470"/>
          <w:tab w:val="left" w:pos="8190"/>
        </w:tabs>
      </w:pPr>
      <w:r>
        <w:rPr>
          <w:bCs/>
        </w:rPr>
        <w:t xml:space="preserve">The </w:t>
      </w:r>
      <w:r w:rsidR="005C0F44">
        <w:t>Summary Index for the Peoria-Pekin MSA during the quarter and the growth in the number of working residents are positive</w:t>
      </w:r>
      <w:r>
        <w:t>,</w:t>
      </w:r>
      <w:r w:rsidR="005C0F44">
        <w:t xml:space="preserve"> broad</w:t>
      </w:r>
      <w:r>
        <w:t>-</w:t>
      </w:r>
      <w:r w:rsidR="005C0F44">
        <w:t>based indicators of present business conditions.</w:t>
      </w:r>
    </w:p>
    <w:p w:rsidR="005C0F44" w:rsidRDefault="005C0F44" w:rsidP="002E0081">
      <w:pPr>
        <w:tabs>
          <w:tab w:val="left" w:pos="990"/>
          <w:tab w:val="left" w:pos="1710"/>
          <w:tab w:val="left" w:pos="2430"/>
          <w:tab w:val="left" w:pos="3150"/>
          <w:tab w:val="left" w:pos="3870"/>
          <w:tab w:val="left" w:pos="4590"/>
          <w:tab w:val="left" w:pos="5310"/>
          <w:tab w:val="left" w:pos="6030"/>
          <w:tab w:val="left" w:pos="6750"/>
          <w:tab w:val="left" w:pos="7470"/>
          <w:tab w:val="left" w:pos="8190"/>
        </w:tabs>
      </w:pPr>
    </w:p>
    <w:p w:rsidR="00BD4AAF" w:rsidRDefault="00244BC3" w:rsidP="004D295E">
      <w:pPr>
        <w:tabs>
          <w:tab w:val="left" w:pos="990"/>
          <w:tab w:val="left" w:pos="1710"/>
          <w:tab w:val="left" w:pos="2430"/>
          <w:tab w:val="left" w:pos="3150"/>
          <w:tab w:val="left" w:pos="3870"/>
          <w:tab w:val="left" w:pos="4590"/>
          <w:tab w:val="left" w:pos="5310"/>
          <w:tab w:val="left" w:pos="6030"/>
          <w:tab w:val="left" w:pos="6750"/>
          <w:tab w:val="left" w:pos="7470"/>
          <w:tab w:val="left" w:pos="8190"/>
        </w:tabs>
        <w:ind w:left="990" w:hanging="990"/>
        <w:rPr>
          <w:bCs/>
          <w:iCs/>
        </w:rPr>
      </w:pPr>
      <w:r>
        <w:rPr>
          <w:bCs/>
          <w:iCs/>
        </w:rPr>
        <w:t>Looking ahead, a k</w:t>
      </w:r>
      <w:r w:rsidR="00542064">
        <w:rPr>
          <w:bCs/>
          <w:iCs/>
        </w:rPr>
        <w:t xml:space="preserve">ey </w:t>
      </w:r>
      <w:r>
        <w:rPr>
          <w:bCs/>
          <w:iCs/>
        </w:rPr>
        <w:t xml:space="preserve">local </w:t>
      </w:r>
      <w:r w:rsidR="00542064">
        <w:rPr>
          <w:bCs/>
          <w:iCs/>
        </w:rPr>
        <w:t>l</w:t>
      </w:r>
      <w:r>
        <w:rPr>
          <w:bCs/>
          <w:iCs/>
        </w:rPr>
        <w:t>eading indicator</w:t>
      </w:r>
      <w:r w:rsidR="004D295E">
        <w:rPr>
          <w:bCs/>
          <w:iCs/>
        </w:rPr>
        <w:t xml:space="preserve"> for the labor market </w:t>
      </w:r>
      <w:r>
        <w:rPr>
          <w:bCs/>
          <w:iCs/>
        </w:rPr>
        <w:t>i</w:t>
      </w:r>
      <w:r w:rsidR="00E5165B">
        <w:rPr>
          <w:bCs/>
          <w:iCs/>
        </w:rPr>
        <w:t xml:space="preserve">mproved </w:t>
      </w:r>
      <w:r>
        <w:rPr>
          <w:bCs/>
          <w:iCs/>
        </w:rPr>
        <w:t xml:space="preserve">in the second quarter, </w:t>
      </w:r>
      <w:r w:rsidR="00BD4AAF">
        <w:rPr>
          <w:bCs/>
          <w:iCs/>
        </w:rPr>
        <w:t>with</w:t>
      </w:r>
    </w:p>
    <w:p w:rsidR="00244BC3" w:rsidRDefault="00244BC3" w:rsidP="004D295E">
      <w:pPr>
        <w:tabs>
          <w:tab w:val="left" w:pos="990"/>
          <w:tab w:val="left" w:pos="1710"/>
          <w:tab w:val="left" w:pos="2430"/>
          <w:tab w:val="left" w:pos="3150"/>
          <w:tab w:val="left" w:pos="3870"/>
          <w:tab w:val="left" w:pos="4590"/>
          <w:tab w:val="left" w:pos="5310"/>
          <w:tab w:val="left" w:pos="6030"/>
          <w:tab w:val="left" w:pos="6750"/>
          <w:tab w:val="left" w:pos="7470"/>
          <w:tab w:val="left" w:pos="8190"/>
        </w:tabs>
        <w:ind w:left="990" w:hanging="990"/>
        <w:rPr>
          <w:bCs/>
          <w:iCs/>
        </w:rPr>
      </w:pPr>
      <w:r>
        <w:rPr>
          <w:bCs/>
          <w:iCs/>
        </w:rPr>
        <w:t>l</w:t>
      </w:r>
      <w:r w:rsidR="004D295E">
        <w:rPr>
          <w:bCs/>
          <w:iCs/>
        </w:rPr>
        <w:t xml:space="preserve">ayoffs </w:t>
      </w:r>
      <w:r w:rsidR="00BD4AAF">
        <w:rPr>
          <w:bCs/>
          <w:iCs/>
        </w:rPr>
        <w:t xml:space="preserve">down </w:t>
      </w:r>
      <w:r w:rsidR="004D295E">
        <w:rPr>
          <w:bCs/>
          <w:iCs/>
        </w:rPr>
        <w:t xml:space="preserve">for a </w:t>
      </w:r>
      <w:r>
        <w:rPr>
          <w:bCs/>
          <w:iCs/>
        </w:rPr>
        <w:t>t</w:t>
      </w:r>
      <w:r w:rsidR="004D295E">
        <w:rPr>
          <w:bCs/>
          <w:iCs/>
        </w:rPr>
        <w:t>hird</w:t>
      </w:r>
      <w:r>
        <w:rPr>
          <w:bCs/>
          <w:iCs/>
        </w:rPr>
        <w:t xml:space="preserve"> </w:t>
      </w:r>
      <w:r w:rsidR="004D295E">
        <w:rPr>
          <w:bCs/>
          <w:iCs/>
        </w:rPr>
        <w:t xml:space="preserve">consecutive quarter, </w:t>
      </w:r>
      <w:r w:rsidR="00BD4AAF">
        <w:rPr>
          <w:bCs/>
          <w:iCs/>
        </w:rPr>
        <w:t xml:space="preserve">so that the </w:t>
      </w:r>
      <w:r w:rsidR="004D295E">
        <w:rPr>
          <w:bCs/>
          <w:iCs/>
        </w:rPr>
        <w:t xml:space="preserve">number of persons who submitted new </w:t>
      </w:r>
    </w:p>
    <w:p w:rsidR="00BD4AAF" w:rsidRDefault="004D295E" w:rsidP="00244BC3">
      <w:pPr>
        <w:tabs>
          <w:tab w:val="left" w:pos="990"/>
          <w:tab w:val="left" w:pos="1710"/>
          <w:tab w:val="left" w:pos="2430"/>
          <w:tab w:val="left" w:pos="3150"/>
          <w:tab w:val="left" w:pos="3870"/>
          <w:tab w:val="left" w:pos="4590"/>
          <w:tab w:val="left" w:pos="5310"/>
          <w:tab w:val="left" w:pos="6030"/>
          <w:tab w:val="left" w:pos="6750"/>
          <w:tab w:val="left" w:pos="7470"/>
          <w:tab w:val="left" w:pos="8190"/>
        </w:tabs>
        <w:ind w:left="990" w:hanging="990"/>
        <w:rPr>
          <w:bCs/>
          <w:iCs/>
        </w:rPr>
      </w:pPr>
      <w:r>
        <w:rPr>
          <w:bCs/>
          <w:iCs/>
        </w:rPr>
        <w:t xml:space="preserve">unemployment claims </w:t>
      </w:r>
      <w:r w:rsidR="00BD4AAF">
        <w:rPr>
          <w:bCs/>
          <w:iCs/>
        </w:rPr>
        <w:t xml:space="preserve">in the second quarter of 2014 </w:t>
      </w:r>
      <w:r w:rsidR="00E5165B">
        <w:rPr>
          <w:bCs/>
          <w:iCs/>
        </w:rPr>
        <w:t xml:space="preserve">were </w:t>
      </w:r>
      <w:r>
        <w:rPr>
          <w:bCs/>
          <w:iCs/>
        </w:rPr>
        <w:t xml:space="preserve">less than half the numbers of the </w:t>
      </w:r>
      <w:r w:rsidR="00BD4AAF">
        <w:rPr>
          <w:bCs/>
          <w:iCs/>
        </w:rPr>
        <w:t xml:space="preserve">year </w:t>
      </w:r>
    </w:p>
    <w:p w:rsidR="004D295E" w:rsidRDefault="00BD4AAF" w:rsidP="00244BC3">
      <w:pPr>
        <w:tabs>
          <w:tab w:val="left" w:pos="990"/>
          <w:tab w:val="left" w:pos="1710"/>
          <w:tab w:val="left" w:pos="2430"/>
          <w:tab w:val="left" w:pos="3150"/>
          <w:tab w:val="left" w:pos="3870"/>
          <w:tab w:val="left" w:pos="4590"/>
          <w:tab w:val="left" w:pos="5310"/>
          <w:tab w:val="left" w:pos="6030"/>
          <w:tab w:val="left" w:pos="6750"/>
          <w:tab w:val="left" w:pos="7470"/>
          <w:tab w:val="left" w:pos="8190"/>
        </w:tabs>
        <w:ind w:left="990" w:hanging="990"/>
        <w:rPr>
          <w:bCs/>
        </w:rPr>
      </w:pPr>
      <w:r>
        <w:rPr>
          <w:bCs/>
          <w:iCs/>
        </w:rPr>
        <w:t xml:space="preserve">before, </w:t>
      </w:r>
      <w:r w:rsidR="004D295E">
        <w:rPr>
          <w:bCs/>
          <w:iCs/>
        </w:rPr>
        <w:t>when rota</w:t>
      </w:r>
      <w:r>
        <w:rPr>
          <w:bCs/>
          <w:iCs/>
        </w:rPr>
        <w:t>ting layoffs and furloughs were common</w:t>
      </w:r>
      <w:r w:rsidR="004D295E">
        <w:rPr>
          <w:bCs/>
          <w:iCs/>
        </w:rPr>
        <w:t xml:space="preserve">.  </w:t>
      </w:r>
    </w:p>
    <w:p w:rsidR="004D295E" w:rsidRDefault="004D295E" w:rsidP="004D295E">
      <w:pPr>
        <w:tabs>
          <w:tab w:val="left" w:pos="990"/>
          <w:tab w:val="left" w:pos="1710"/>
          <w:tab w:val="left" w:pos="2430"/>
          <w:tab w:val="left" w:pos="3150"/>
          <w:tab w:val="left" w:pos="3870"/>
          <w:tab w:val="left" w:pos="4590"/>
          <w:tab w:val="left" w:pos="5310"/>
          <w:tab w:val="left" w:pos="6030"/>
          <w:tab w:val="left" w:pos="6750"/>
          <w:tab w:val="left" w:pos="7470"/>
          <w:tab w:val="left" w:pos="8190"/>
        </w:tabs>
        <w:rPr>
          <w:bCs/>
        </w:rPr>
      </w:pPr>
    </w:p>
    <w:p w:rsidR="003449EF" w:rsidRPr="002E0081" w:rsidRDefault="003F7CA2" w:rsidP="004D295E">
      <w:pPr>
        <w:tabs>
          <w:tab w:val="left" w:pos="990"/>
          <w:tab w:val="left" w:pos="1710"/>
          <w:tab w:val="left" w:pos="2430"/>
          <w:tab w:val="left" w:pos="3150"/>
          <w:tab w:val="left" w:pos="3870"/>
          <w:tab w:val="left" w:pos="4590"/>
          <w:tab w:val="left" w:pos="5310"/>
          <w:tab w:val="left" w:pos="6030"/>
          <w:tab w:val="left" w:pos="6750"/>
          <w:tab w:val="left" w:pos="7470"/>
          <w:tab w:val="left" w:pos="8190"/>
        </w:tabs>
        <w:rPr>
          <w:bCs/>
        </w:rPr>
      </w:pPr>
      <w:r>
        <w:rPr>
          <w:bCs/>
        </w:rPr>
        <w:t>The i</w:t>
      </w:r>
      <w:r w:rsidR="00542064">
        <w:rPr>
          <w:bCs/>
        </w:rPr>
        <w:t>m</w:t>
      </w:r>
      <w:r>
        <w:rPr>
          <w:bCs/>
        </w:rPr>
        <w:t>p</w:t>
      </w:r>
      <w:r w:rsidR="00EC5612">
        <w:rPr>
          <w:bCs/>
        </w:rPr>
        <w:t>rovements</w:t>
      </w:r>
      <w:r w:rsidR="00542064">
        <w:rPr>
          <w:bCs/>
        </w:rPr>
        <w:t xml:space="preserve"> in </w:t>
      </w:r>
      <w:r w:rsidR="0051622E">
        <w:rPr>
          <w:bCs/>
        </w:rPr>
        <w:t>th</w:t>
      </w:r>
      <w:r w:rsidR="002E0081">
        <w:rPr>
          <w:bCs/>
        </w:rPr>
        <w:t>ree of the four local leading indicators monitored by the CBER</w:t>
      </w:r>
      <w:r w:rsidR="008638D6">
        <w:rPr>
          <w:bCs/>
        </w:rPr>
        <w:t xml:space="preserve"> point to </w:t>
      </w:r>
      <w:r w:rsidR="0051622E">
        <w:t xml:space="preserve">growth in the </w:t>
      </w:r>
      <w:r w:rsidR="00BC2C53">
        <w:t xml:space="preserve">Summary Index </w:t>
      </w:r>
      <w:r w:rsidR="005C0F44">
        <w:t>for the Peoria-Pekin MSA in the months ahead</w:t>
      </w:r>
      <w:r w:rsidR="00BC2C53">
        <w:t xml:space="preserve"> </w:t>
      </w:r>
    </w:p>
    <w:p w:rsidR="00A6209C" w:rsidRDefault="005C0F44" w:rsidP="00137F49">
      <w:pPr>
        <w:rPr>
          <w:bCs/>
          <w:iCs/>
        </w:rPr>
      </w:pPr>
      <w:r>
        <w:rPr>
          <w:bCs/>
          <w:iCs/>
        </w:rPr>
        <w:t xml:space="preserve"> </w:t>
      </w:r>
    </w:p>
    <w:p w:rsidR="00334485" w:rsidRDefault="00334485" w:rsidP="00137F49">
      <w:pPr>
        <w:rPr>
          <w:bCs/>
          <w:iCs/>
        </w:rPr>
      </w:pPr>
    </w:p>
    <w:tbl>
      <w:tblPr>
        <w:tblW w:w="0" w:type="auto"/>
        <w:tblCellSpacing w:w="15" w:type="dxa"/>
        <w:tblCellMar>
          <w:left w:w="0" w:type="dxa"/>
          <w:right w:w="0" w:type="dxa"/>
        </w:tblCellMar>
        <w:tblLook w:val="04A0"/>
      </w:tblPr>
      <w:tblGrid>
        <w:gridCol w:w="126"/>
      </w:tblGrid>
      <w:tr w:rsidR="002C3E25" w:rsidRPr="002C3E25" w:rsidTr="002C3E25">
        <w:trPr>
          <w:tblCellSpacing w:w="15" w:type="dxa"/>
        </w:trPr>
        <w:tc>
          <w:tcPr>
            <w:tcW w:w="0" w:type="auto"/>
            <w:vAlign w:val="center"/>
            <w:hideMark/>
          </w:tcPr>
          <w:tbl>
            <w:tblPr>
              <w:tblW w:w="0" w:type="auto"/>
              <w:tblCellSpacing w:w="15" w:type="dxa"/>
              <w:tblCellMar>
                <w:left w:w="0" w:type="dxa"/>
                <w:right w:w="0" w:type="dxa"/>
              </w:tblCellMar>
              <w:tblLook w:val="04A0"/>
            </w:tblPr>
            <w:tblGrid>
              <w:gridCol w:w="66"/>
            </w:tblGrid>
            <w:tr w:rsidR="002C3E25" w:rsidRPr="002C3E25">
              <w:trPr>
                <w:tblCellSpacing w:w="15" w:type="dxa"/>
              </w:trPr>
              <w:tc>
                <w:tcPr>
                  <w:tcW w:w="0" w:type="auto"/>
                  <w:vAlign w:val="center"/>
                  <w:hideMark/>
                </w:tcPr>
                <w:p w:rsidR="002C3E25" w:rsidRPr="002C3E25" w:rsidRDefault="002C3E25" w:rsidP="002C3E25"/>
              </w:tc>
            </w:tr>
          </w:tbl>
          <w:p w:rsidR="002C3E25" w:rsidRPr="002C3E25" w:rsidRDefault="002C3E25" w:rsidP="002C3E25"/>
        </w:tc>
      </w:tr>
    </w:tbl>
    <w:p w:rsidR="005659B0" w:rsidRPr="00F61003" w:rsidRDefault="00BC2C53" w:rsidP="00553E4D">
      <w:r>
        <w:t>B</w:t>
      </w:r>
      <w:r w:rsidR="005659B0" w:rsidRPr="00F61003">
        <w:t>ernard Goitein, PhD</w:t>
      </w:r>
    </w:p>
    <w:p w:rsidR="007755D1" w:rsidRDefault="00553E4D" w:rsidP="0073489C">
      <w:r w:rsidRPr="00F61003">
        <w:t>Director</w:t>
      </w:r>
    </w:p>
    <w:p w:rsidR="00085CCC" w:rsidRDefault="00827BD9" w:rsidP="00BE715D">
      <w:pPr>
        <w:rPr>
          <w:b/>
        </w:rPr>
      </w:pPr>
      <w:r w:rsidRPr="00F61003">
        <w:t>Center for Business and Economic Researc</w:t>
      </w:r>
      <w:r w:rsidR="00F32987">
        <w:t>h</w:t>
      </w:r>
    </w:p>
    <w:p w:rsidR="00085CCC" w:rsidRDefault="00085CCC" w:rsidP="00BE715D">
      <w:pPr>
        <w:rPr>
          <w:b/>
        </w:rPr>
      </w:pPr>
    </w:p>
    <w:p w:rsidR="00085CCC" w:rsidRDefault="00085CCC" w:rsidP="00BE715D">
      <w:pPr>
        <w:rPr>
          <w:b/>
        </w:rPr>
      </w:pPr>
    </w:p>
    <w:p w:rsidR="00085CCC" w:rsidRDefault="00085CCC" w:rsidP="00BE715D">
      <w:pPr>
        <w:rPr>
          <w:b/>
        </w:rPr>
      </w:pPr>
    </w:p>
    <w:p w:rsidR="00085CCC" w:rsidRDefault="00085CCC" w:rsidP="00BE715D">
      <w:pPr>
        <w:rPr>
          <w:b/>
        </w:rPr>
      </w:pPr>
    </w:p>
    <w:p w:rsidR="00085CCC" w:rsidRDefault="00085CCC" w:rsidP="00BE715D">
      <w:pPr>
        <w:rPr>
          <w:b/>
        </w:rPr>
      </w:pPr>
    </w:p>
    <w:p w:rsidR="00BC2C53" w:rsidRDefault="00BC2C53" w:rsidP="00BE715D">
      <w:pPr>
        <w:rPr>
          <w:b/>
          <w:noProof/>
        </w:rPr>
      </w:pPr>
    </w:p>
    <w:p w:rsidR="008638D6" w:rsidRDefault="008638D6" w:rsidP="00BE715D">
      <w:pPr>
        <w:rPr>
          <w:b/>
          <w:noProof/>
        </w:rPr>
      </w:pPr>
    </w:p>
    <w:p w:rsidR="008638D6" w:rsidRDefault="008638D6" w:rsidP="00BE715D">
      <w:pPr>
        <w:rPr>
          <w:b/>
          <w:noProof/>
        </w:rPr>
      </w:pPr>
    </w:p>
    <w:p w:rsidR="008638D6" w:rsidRDefault="008638D6" w:rsidP="00BE715D">
      <w:pPr>
        <w:rPr>
          <w:b/>
          <w:noProof/>
        </w:rPr>
      </w:pPr>
    </w:p>
    <w:p w:rsidR="008638D6" w:rsidRDefault="008638D6" w:rsidP="00BE715D">
      <w:pPr>
        <w:rPr>
          <w:b/>
          <w:noProof/>
        </w:rPr>
      </w:pPr>
    </w:p>
    <w:p w:rsidR="008638D6" w:rsidRDefault="008638D6" w:rsidP="00BE715D">
      <w:pPr>
        <w:rPr>
          <w:b/>
          <w:noProof/>
        </w:rPr>
      </w:pPr>
    </w:p>
    <w:p w:rsidR="008638D6" w:rsidRDefault="008638D6" w:rsidP="00BE715D">
      <w:pPr>
        <w:rPr>
          <w:b/>
          <w:noProof/>
        </w:rPr>
      </w:pPr>
    </w:p>
    <w:p w:rsidR="0073489C" w:rsidRPr="00F61003" w:rsidRDefault="008638D6" w:rsidP="00BE715D">
      <w:pPr>
        <w:rPr>
          <w:b/>
          <w:noProof/>
        </w:rPr>
      </w:pPr>
      <w:r>
        <w:rPr>
          <w:b/>
          <w:noProof/>
        </w:rPr>
        <w:lastRenderedPageBreak/>
        <w:drawing>
          <wp:inline distT="0" distB="0" distL="0" distR="0">
            <wp:extent cx="5637862" cy="8695855"/>
            <wp:effectExtent l="19050" t="0" r="938" b="0"/>
            <wp:docPr id="4" name="Picture 2" descr="C:\Documents and Settings\bjg\Local Settings\Temp\2Q2014 SCOPE PJStar Table Version 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ocuments and Settings\bjg\Local Settings\Temp\2Q2014 SCOPE PJStar Table Version 8-1.jpg"/>
                    <pic:cNvPicPr>
                      <a:picLocks noChangeAspect="1" noChangeArrowheads="1"/>
                    </pic:cNvPicPr>
                  </pic:nvPicPr>
                  <pic:blipFill>
                    <a:blip r:embed="rId10" cstate="print"/>
                    <a:srcRect/>
                    <a:stretch>
                      <a:fillRect/>
                    </a:stretch>
                  </pic:blipFill>
                  <pic:spPr bwMode="auto">
                    <a:xfrm>
                      <a:off x="0" y="0"/>
                      <a:ext cx="5641735" cy="8701828"/>
                    </a:xfrm>
                    <a:prstGeom prst="rect">
                      <a:avLst/>
                    </a:prstGeom>
                    <a:noFill/>
                    <a:ln w="9525">
                      <a:noFill/>
                      <a:miter lim="800000"/>
                      <a:headEnd/>
                      <a:tailEnd/>
                    </a:ln>
                  </pic:spPr>
                </pic:pic>
              </a:graphicData>
            </a:graphic>
          </wp:inline>
        </w:drawing>
      </w:r>
      <w:r w:rsidR="0073489C" w:rsidRPr="00F61003">
        <w:rPr>
          <w:b/>
        </w:rPr>
        <w:lastRenderedPageBreak/>
        <w:t xml:space="preserve">Background </w:t>
      </w:r>
    </w:p>
    <w:p w:rsidR="0073489C" w:rsidRPr="00F61003" w:rsidRDefault="0073489C" w:rsidP="0073489C">
      <w:pPr>
        <w:pStyle w:val="Heading2"/>
        <w:jc w:val="left"/>
        <w:rPr>
          <w:rFonts w:ascii="Times New Roman" w:hAnsi="Times New Roman"/>
          <w:b w:val="0"/>
          <w:bCs/>
          <w:szCs w:val="24"/>
        </w:rPr>
      </w:pPr>
    </w:p>
    <w:p w:rsidR="0073489C" w:rsidRPr="00F61003" w:rsidRDefault="0073489C" w:rsidP="00681772">
      <w:pPr>
        <w:pStyle w:val="Heading2"/>
        <w:jc w:val="left"/>
        <w:rPr>
          <w:rFonts w:ascii="Times New Roman" w:hAnsi="Times New Roman"/>
          <w:b w:val="0"/>
          <w:bCs/>
          <w:szCs w:val="24"/>
        </w:rPr>
      </w:pPr>
      <w:r w:rsidRPr="00F61003">
        <w:rPr>
          <w:rFonts w:ascii="Times New Roman" w:hAnsi="Times New Roman"/>
          <w:b w:val="0"/>
          <w:bCs/>
          <w:szCs w:val="24"/>
        </w:rPr>
        <w:t>All business indicator data reported are adjusted for normal seasonal variation, other than quarterly</w:t>
      </w:r>
    </w:p>
    <w:p w:rsidR="00681772" w:rsidRPr="00F61003" w:rsidRDefault="00681772" w:rsidP="00681772">
      <w:pPr>
        <w:pStyle w:val="Heading2"/>
        <w:jc w:val="left"/>
        <w:rPr>
          <w:rFonts w:ascii="Times New Roman" w:hAnsi="Times New Roman"/>
          <w:b w:val="0"/>
          <w:bCs/>
          <w:szCs w:val="24"/>
        </w:rPr>
      </w:pPr>
      <w:r w:rsidRPr="00F61003">
        <w:rPr>
          <w:rFonts w:ascii="Times New Roman" w:hAnsi="Times New Roman"/>
          <w:b w:val="0"/>
          <w:bCs/>
          <w:szCs w:val="24"/>
        </w:rPr>
        <w:t>retail sales and number of homes sold.  The CBER relies on SPSS for seasonal adjustment.  The seasonal adjustment procedure removes the impact of seasonal components, i.e., the predictable seasonal variations of the data, so that any underlying trend in the data series can be discerned.</w:t>
      </w:r>
    </w:p>
    <w:p w:rsidR="00553E4D" w:rsidRPr="00F61003" w:rsidRDefault="00553E4D" w:rsidP="00681772">
      <w:pPr>
        <w:rPr>
          <w:bCs/>
        </w:rPr>
      </w:pPr>
    </w:p>
    <w:p w:rsidR="007755D1" w:rsidRPr="00F61003" w:rsidRDefault="007755D1" w:rsidP="007755D1">
      <w:pPr>
        <w:rPr>
          <w:color w:val="333333"/>
        </w:rPr>
      </w:pPr>
      <w:r w:rsidRPr="00F61003">
        <w:rPr>
          <w:color w:val="333333"/>
        </w:rPr>
        <w:t xml:space="preserve">The "Summary Peoria-Pekin MSA Index" consists of the average of 14 key standardized, seasonally adjusted economic indicators. Indicators are standardized using a z transformation. A value of 100 corresponds to the Index value in the </w:t>
      </w:r>
      <w:r w:rsidR="006D17F7">
        <w:rPr>
          <w:color w:val="333333"/>
        </w:rPr>
        <w:t xml:space="preserve">first </w:t>
      </w:r>
      <w:r w:rsidRPr="00F61003">
        <w:rPr>
          <w:color w:val="333333"/>
        </w:rPr>
        <w:t xml:space="preserve">quarter of 2000. </w:t>
      </w:r>
    </w:p>
    <w:p w:rsidR="007755D1" w:rsidRPr="00F61003" w:rsidRDefault="007755D1" w:rsidP="007755D1">
      <w:pPr>
        <w:rPr>
          <w:color w:val="333333"/>
        </w:rPr>
      </w:pPr>
    </w:p>
    <w:p w:rsidR="00681772" w:rsidRPr="00F61003" w:rsidRDefault="00681772" w:rsidP="00681772">
      <w:pPr>
        <w:rPr>
          <w:color w:val="333333"/>
        </w:rPr>
      </w:pPr>
      <w:r w:rsidRPr="00F61003">
        <w:rPr>
          <w:color w:val="333333"/>
        </w:rPr>
        <w:t xml:space="preserve">The "Single Family Building Permits" Index includes seasonally adjusted activity authorized by local building permits issued by the City of Peoria, Marshall County, Peoria County, Stark County, Tazewell County and Woodford County. The building permit activity authorized by these six governments in 2000 reflected over 80% of the nearly 1000 single family building permits issued by all governments in the five county MSA during the base year of 2000. </w:t>
      </w:r>
    </w:p>
    <w:p w:rsidR="00681772" w:rsidRPr="00F61003" w:rsidRDefault="00681772" w:rsidP="00681772">
      <w:pPr>
        <w:spacing w:before="100" w:beforeAutospacing="1" w:line="300" w:lineRule="atLeast"/>
        <w:rPr>
          <w:color w:val="333333"/>
        </w:rPr>
      </w:pPr>
      <w:r w:rsidRPr="00F61003">
        <w:rPr>
          <w:color w:val="333333"/>
        </w:rPr>
        <w:t xml:space="preserve">The "Job Opening Index" reflects help wanted postings, with an Index value of 100 corresponding to the average quarter's number of five-county help wanted postings in 2000. </w:t>
      </w:r>
    </w:p>
    <w:p w:rsidR="00681772" w:rsidRPr="00F61003" w:rsidRDefault="00681772" w:rsidP="00681772">
      <w:pPr>
        <w:spacing w:before="100" w:beforeAutospacing="1" w:line="300" w:lineRule="atLeast"/>
        <w:rPr>
          <w:color w:val="333333"/>
        </w:rPr>
      </w:pPr>
      <w:r w:rsidRPr="00F61003">
        <w:rPr>
          <w:color w:val="333333"/>
        </w:rPr>
        <w:t>The "New Unemployment Claims Index" refers to the seasonally adjusted number of new weekly unemployment claims in the five-county Peoria-Pekin MSA, with an Index value of 100 reflecting the average weekly number of new unemployment claims in 2000.</w:t>
      </w:r>
    </w:p>
    <w:p w:rsidR="00681772" w:rsidRPr="00F61003" w:rsidRDefault="00681772" w:rsidP="00681772">
      <w:pPr>
        <w:spacing w:before="100" w:beforeAutospacing="1" w:line="300" w:lineRule="atLeast"/>
        <w:rPr>
          <w:color w:val="333333"/>
        </w:rPr>
      </w:pPr>
      <w:r w:rsidRPr="00F61003">
        <w:rPr>
          <w:color w:val="333333"/>
        </w:rPr>
        <w:t xml:space="preserve">The Inflation Adjusted Retail Sales Index reflects retail spending in the Peoria-Pekin MSA, adjusted for inflation and for normal seasonal variation in retail sales. A score of 100 represents the inflation adjusted, seasonally adjusted retail sales during the </w:t>
      </w:r>
      <w:r w:rsidR="006D17F7">
        <w:rPr>
          <w:color w:val="333333"/>
        </w:rPr>
        <w:t>first</w:t>
      </w:r>
      <w:r w:rsidRPr="00F61003">
        <w:rPr>
          <w:color w:val="333333"/>
        </w:rPr>
        <w:t xml:space="preserve"> quarter of 2000. </w:t>
      </w:r>
    </w:p>
    <w:p w:rsidR="00681772" w:rsidRPr="00F61003" w:rsidRDefault="00681772" w:rsidP="00681772">
      <w:pPr>
        <w:spacing w:before="100" w:beforeAutospacing="1" w:line="300" w:lineRule="atLeast"/>
        <w:rPr>
          <w:color w:val="333333"/>
        </w:rPr>
      </w:pPr>
      <w:r w:rsidRPr="00F61003">
        <w:rPr>
          <w:color w:val="333333"/>
        </w:rPr>
        <w:t xml:space="preserve">The CBER’s five-county seasonally adjusted Index </w:t>
      </w:r>
      <w:r w:rsidR="007E5B74">
        <w:rPr>
          <w:color w:val="333333"/>
        </w:rPr>
        <w:t xml:space="preserve">of available homes </w:t>
      </w:r>
      <w:r w:rsidRPr="00F61003">
        <w:rPr>
          <w:color w:val="333333"/>
        </w:rPr>
        <w:t xml:space="preserve">for sale is computed relative to the score of 100 in the base year of 2000.   The CBER’s estimate of the seasonally adjusted Index of Price of Homes Sold is computed relative to a score of 100 in the base year of 2000. </w:t>
      </w:r>
    </w:p>
    <w:p w:rsidR="007B4BC4" w:rsidRPr="00F61003" w:rsidRDefault="007B4BC4" w:rsidP="007B4BC4">
      <w:pPr>
        <w:spacing w:before="100" w:beforeAutospacing="1" w:line="300" w:lineRule="atLeast"/>
        <w:rPr>
          <w:color w:val="333333"/>
        </w:rPr>
      </w:pPr>
      <w:r w:rsidRPr="00F61003">
        <w:rPr>
          <w:color w:val="333333"/>
        </w:rPr>
        <w:t>The "</w:t>
      </w:r>
      <w:r>
        <w:rPr>
          <w:color w:val="333333"/>
        </w:rPr>
        <w:t xml:space="preserve">Hospital Revenue Index” </w:t>
      </w:r>
      <w:r w:rsidRPr="00F61003">
        <w:rPr>
          <w:color w:val="333333"/>
        </w:rPr>
        <w:t xml:space="preserve">reflects </w:t>
      </w:r>
      <w:r>
        <w:rPr>
          <w:color w:val="333333"/>
        </w:rPr>
        <w:t xml:space="preserve">area hospital revenues, </w:t>
      </w:r>
      <w:r w:rsidRPr="00F61003">
        <w:rPr>
          <w:color w:val="333333"/>
        </w:rPr>
        <w:t xml:space="preserve">with an Index value of 100 corresponding to the average </w:t>
      </w:r>
      <w:r>
        <w:rPr>
          <w:color w:val="333333"/>
        </w:rPr>
        <w:t xml:space="preserve">quarter’s revenue in the base year of </w:t>
      </w:r>
      <w:r w:rsidRPr="00F61003">
        <w:rPr>
          <w:color w:val="333333"/>
        </w:rPr>
        <w:t xml:space="preserve">2000. </w:t>
      </w:r>
    </w:p>
    <w:p w:rsidR="007B4BC4" w:rsidRDefault="007B4BC4">
      <w:pPr>
        <w:rPr>
          <w:color w:val="333333"/>
        </w:rPr>
      </w:pPr>
    </w:p>
    <w:p w:rsidR="002F30AD" w:rsidRDefault="00304505">
      <w:pPr>
        <w:rPr>
          <w:color w:val="333333"/>
        </w:rPr>
      </w:pPr>
      <w:r>
        <w:rPr>
          <w:color w:val="333333"/>
        </w:rPr>
        <w:t xml:space="preserve">The CBER </w:t>
      </w:r>
      <w:r w:rsidR="007B4BC4">
        <w:rPr>
          <w:color w:val="333333"/>
        </w:rPr>
        <w:t>uses</w:t>
      </w:r>
      <w:r>
        <w:rPr>
          <w:color w:val="333333"/>
        </w:rPr>
        <w:t xml:space="preserve"> regression model</w:t>
      </w:r>
      <w:r w:rsidR="007B4BC4">
        <w:rPr>
          <w:color w:val="333333"/>
        </w:rPr>
        <w:t>s</w:t>
      </w:r>
      <w:r>
        <w:rPr>
          <w:color w:val="333333"/>
        </w:rPr>
        <w:t xml:space="preserve"> to estimates the number of jobs in area health care</w:t>
      </w:r>
      <w:r w:rsidR="007B4BC4">
        <w:rPr>
          <w:color w:val="333333"/>
        </w:rPr>
        <w:t xml:space="preserve"> and to estimate the most recent quarter’s retail sales</w:t>
      </w:r>
      <w:r>
        <w:rPr>
          <w:color w:val="333333"/>
        </w:rPr>
        <w:t xml:space="preserve">. </w:t>
      </w:r>
    </w:p>
    <w:p w:rsidR="002F30AD" w:rsidRDefault="002F30AD">
      <w:pPr>
        <w:rPr>
          <w:color w:val="333333"/>
        </w:rPr>
      </w:pPr>
    </w:p>
    <w:p w:rsidR="001366CC" w:rsidRDefault="00681772">
      <w:pPr>
        <w:rPr>
          <w:color w:val="333333"/>
        </w:rPr>
      </w:pPr>
      <w:r w:rsidRPr="00F61003">
        <w:rPr>
          <w:color w:val="333333"/>
        </w:rPr>
        <w:t xml:space="preserve">US government statistics compiled </w:t>
      </w:r>
      <w:r w:rsidR="005659B0" w:rsidRPr="00F61003">
        <w:rPr>
          <w:color w:val="333333"/>
        </w:rPr>
        <w:t xml:space="preserve">with seasonal adjustment </w:t>
      </w:r>
      <w:r w:rsidRPr="00F61003">
        <w:rPr>
          <w:color w:val="333333"/>
        </w:rPr>
        <w:t>include Illinois and US unemployment rates, the average number of hours worked/week by production and non-supervisory workers, average number of hours of overtime worked/week in durable manufacturing, the Midwest Urban Consumer Price Index (CPI; computed monthly for the Midwest region by the Bureau of Labor Statistics), the "Value of U.S. Dollar Index," and the Gross Domestic Product.</w:t>
      </w:r>
    </w:p>
    <w:p w:rsidR="00F34017" w:rsidRPr="00E5165B" w:rsidRDefault="00F34017">
      <w:pPr>
        <w:rPr>
          <w:sz w:val="28"/>
        </w:rPr>
      </w:pPr>
      <w:r w:rsidRPr="00F34017">
        <w:rPr>
          <w:sz w:val="28"/>
        </w:rPr>
        <w:t> </w:t>
      </w:r>
    </w:p>
    <w:sectPr w:rsidR="00F34017" w:rsidRPr="00E5165B" w:rsidSect="00F34C68">
      <w:headerReference w:type="even" r:id="rId11"/>
      <w:headerReference w:type="default" r:id="rId12"/>
      <w:footerReference w:type="even" r:id="rId13"/>
      <w:footerReference w:type="default" r:id="rId14"/>
      <w:headerReference w:type="first" r:id="rId15"/>
      <w:footerReference w:type="first" r:id="rId16"/>
      <w:pgSz w:w="12240" w:h="15840"/>
      <w:pgMar w:top="1440" w:right="1166" w:bottom="576" w:left="108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8056D" w:rsidRDefault="0078056D" w:rsidP="005B1A95">
      <w:r>
        <w:separator/>
      </w:r>
    </w:p>
  </w:endnote>
  <w:endnote w:type="continuationSeparator" w:id="0">
    <w:p w:rsidR="0078056D" w:rsidRDefault="0078056D" w:rsidP="005B1A9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Courier New">
    <w:panose1 w:val="02070309020205020404"/>
    <w:charset w:val="00"/>
    <w:family w:val="modern"/>
    <w:pitch w:val="fixed"/>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8056D" w:rsidRDefault="0078056D">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8056D" w:rsidRDefault="0078056D">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8056D" w:rsidRDefault="0078056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8056D" w:rsidRDefault="0078056D" w:rsidP="005B1A95">
      <w:r>
        <w:separator/>
      </w:r>
    </w:p>
  </w:footnote>
  <w:footnote w:type="continuationSeparator" w:id="0">
    <w:p w:rsidR="0078056D" w:rsidRDefault="0078056D" w:rsidP="005B1A9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8056D" w:rsidRDefault="0078056D">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8056D" w:rsidRDefault="0078056D">
    <w:pPr>
      <w:pStyle w:val="Header"/>
    </w:pPr>
  </w:p>
  <w:p w:rsidR="0078056D" w:rsidRDefault="0078056D">
    <w:pPr>
      <w:pStyle w:val="Header"/>
    </w:pPr>
  </w:p>
  <w:p w:rsidR="0078056D" w:rsidRDefault="0078056D">
    <w:pPr>
      <w:pStyle w:val="Header"/>
    </w:pPr>
  </w:p>
  <w:p w:rsidR="0078056D" w:rsidRDefault="0078056D">
    <w:pPr>
      <w:pStyle w:val="Header"/>
    </w:pPr>
  </w:p>
  <w:p w:rsidR="0078056D" w:rsidRDefault="0078056D">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8056D" w:rsidRDefault="0078056D">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27270B"/>
    <w:multiLevelType w:val="hybridMultilevel"/>
    <w:tmpl w:val="5DFAA65E"/>
    <w:lvl w:ilvl="0" w:tplc="09765C54">
      <w:start w:val="1"/>
      <w:numFmt w:val="decimal"/>
      <w:lvlText w:val="%1."/>
      <w:lvlJc w:val="left"/>
      <w:pPr>
        <w:ind w:left="855" w:hanging="49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14689"/>
  </w:hdrShapeDefaults>
  <w:footnotePr>
    <w:footnote w:id="-1"/>
    <w:footnote w:id="0"/>
  </w:footnotePr>
  <w:endnotePr>
    <w:endnote w:id="-1"/>
    <w:endnote w:id="0"/>
  </w:endnotePr>
  <w:compat/>
  <w:rsids>
    <w:rsidRoot w:val="00681772"/>
    <w:rsid w:val="000005C1"/>
    <w:rsid w:val="00000E99"/>
    <w:rsid w:val="000016A8"/>
    <w:rsid w:val="000043A9"/>
    <w:rsid w:val="000047BC"/>
    <w:rsid w:val="0001120C"/>
    <w:rsid w:val="00013E29"/>
    <w:rsid w:val="00017500"/>
    <w:rsid w:val="00021D15"/>
    <w:rsid w:val="000230F3"/>
    <w:rsid w:val="0002483A"/>
    <w:rsid w:val="000354AF"/>
    <w:rsid w:val="00035E15"/>
    <w:rsid w:val="00040E66"/>
    <w:rsid w:val="00041789"/>
    <w:rsid w:val="0004368D"/>
    <w:rsid w:val="00043AAA"/>
    <w:rsid w:val="00044590"/>
    <w:rsid w:val="0004464A"/>
    <w:rsid w:val="00044AC7"/>
    <w:rsid w:val="00045488"/>
    <w:rsid w:val="00047935"/>
    <w:rsid w:val="000507C9"/>
    <w:rsid w:val="00051135"/>
    <w:rsid w:val="00051446"/>
    <w:rsid w:val="00052765"/>
    <w:rsid w:val="00052C73"/>
    <w:rsid w:val="000551E8"/>
    <w:rsid w:val="00056FA6"/>
    <w:rsid w:val="0005703C"/>
    <w:rsid w:val="000654DB"/>
    <w:rsid w:val="00065ADE"/>
    <w:rsid w:val="0006640B"/>
    <w:rsid w:val="000677DD"/>
    <w:rsid w:val="00070A53"/>
    <w:rsid w:val="00072900"/>
    <w:rsid w:val="00075CE7"/>
    <w:rsid w:val="00076AEA"/>
    <w:rsid w:val="00076BFF"/>
    <w:rsid w:val="00081CDA"/>
    <w:rsid w:val="000855D8"/>
    <w:rsid w:val="00085CCC"/>
    <w:rsid w:val="0008791C"/>
    <w:rsid w:val="0009243B"/>
    <w:rsid w:val="0009307F"/>
    <w:rsid w:val="00094494"/>
    <w:rsid w:val="000976C7"/>
    <w:rsid w:val="000A2438"/>
    <w:rsid w:val="000A5F93"/>
    <w:rsid w:val="000A78AE"/>
    <w:rsid w:val="000B2F49"/>
    <w:rsid w:val="000B4663"/>
    <w:rsid w:val="000B7441"/>
    <w:rsid w:val="000C10B5"/>
    <w:rsid w:val="000C354A"/>
    <w:rsid w:val="000C3D71"/>
    <w:rsid w:val="000C7035"/>
    <w:rsid w:val="000D23F8"/>
    <w:rsid w:val="000D3A43"/>
    <w:rsid w:val="000D520F"/>
    <w:rsid w:val="000D7110"/>
    <w:rsid w:val="000E060F"/>
    <w:rsid w:val="000E2362"/>
    <w:rsid w:val="000E3844"/>
    <w:rsid w:val="000E58EB"/>
    <w:rsid w:val="000E7246"/>
    <w:rsid w:val="000E7765"/>
    <w:rsid w:val="000F0C93"/>
    <w:rsid w:val="000F414F"/>
    <w:rsid w:val="000F674E"/>
    <w:rsid w:val="000F794B"/>
    <w:rsid w:val="001060EF"/>
    <w:rsid w:val="00107D91"/>
    <w:rsid w:val="00111012"/>
    <w:rsid w:val="0011217A"/>
    <w:rsid w:val="001131BE"/>
    <w:rsid w:val="00115E28"/>
    <w:rsid w:val="001208DF"/>
    <w:rsid w:val="00125335"/>
    <w:rsid w:val="00125386"/>
    <w:rsid w:val="001254A0"/>
    <w:rsid w:val="001342C4"/>
    <w:rsid w:val="001366CC"/>
    <w:rsid w:val="001376CB"/>
    <w:rsid w:val="00137F49"/>
    <w:rsid w:val="00142120"/>
    <w:rsid w:val="001435FB"/>
    <w:rsid w:val="00143BE0"/>
    <w:rsid w:val="00146352"/>
    <w:rsid w:val="00150175"/>
    <w:rsid w:val="001507B2"/>
    <w:rsid w:val="00153CD2"/>
    <w:rsid w:val="00154D1A"/>
    <w:rsid w:val="00161907"/>
    <w:rsid w:val="00172A71"/>
    <w:rsid w:val="00172BB6"/>
    <w:rsid w:val="00174978"/>
    <w:rsid w:val="001838DF"/>
    <w:rsid w:val="00187C49"/>
    <w:rsid w:val="00190F87"/>
    <w:rsid w:val="00191F27"/>
    <w:rsid w:val="00192242"/>
    <w:rsid w:val="00197B64"/>
    <w:rsid w:val="001A01E1"/>
    <w:rsid w:val="001A0AF7"/>
    <w:rsid w:val="001A4C1C"/>
    <w:rsid w:val="001A56BA"/>
    <w:rsid w:val="001A5B16"/>
    <w:rsid w:val="001A6238"/>
    <w:rsid w:val="001A72FA"/>
    <w:rsid w:val="001B0698"/>
    <w:rsid w:val="001B0805"/>
    <w:rsid w:val="001B14B3"/>
    <w:rsid w:val="001B15D5"/>
    <w:rsid w:val="001B2A49"/>
    <w:rsid w:val="001B5D34"/>
    <w:rsid w:val="001B61FC"/>
    <w:rsid w:val="001B7D66"/>
    <w:rsid w:val="001C19F9"/>
    <w:rsid w:val="001C232D"/>
    <w:rsid w:val="001C4491"/>
    <w:rsid w:val="001C5C0D"/>
    <w:rsid w:val="001C5E72"/>
    <w:rsid w:val="001C6016"/>
    <w:rsid w:val="001C721A"/>
    <w:rsid w:val="001D0174"/>
    <w:rsid w:val="001D32E6"/>
    <w:rsid w:val="001D5F4E"/>
    <w:rsid w:val="001D6D38"/>
    <w:rsid w:val="001D71A1"/>
    <w:rsid w:val="001D7539"/>
    <w:rsid w:val="001D7D4B"/>
    <w:rsid w:val="001E0665"/>
    <w:rsid w:val="001E4C60"/>
    <w:rsid w:val="001E728B"/>
    <w:rsid w:val="001F0F6E"/>
    <w:rsid w:val="001F761D"/>
    <w:rsid w:val="001F7B56"/>
    <w:rsid w:val="00200A7B"/>
    <w:rsid w:val="00201CF6"/>
    <w:rsid w:val="00206CD0"/>
    <w:rsid w:val="00207693"/>
    <w:rsid w:val="00207E12"/>
    <w:rsid w:val="002138DE"/>
    <w:rsid w:val="0021631D"/>
    <w:rsid w:val="00221AA6"/>
    <w:rsid w:val="002253FB"/>
    <w:rsid w:val="00226830"/>
    <w:rsid w:val="00227F2E"/>
    <w:rsid w:val="00230DC1"/>
    <w:rsid w:val="00230F7C"/>
    <w:rsid w:val="00231903"/>
    <w:rsid w:val="002338A9"/>
    <w:rsid w:val="00233AA5"/>
    <w:rsid w:val="00241956"/>
    <w:rsid w:val="00241B0A"/>
    <w:rsid w:val="00241C14"/>
    <w:rsid w:val="00244BC3"/>
    <w:rsid w:val="00245B82"/>
    <w:rsid w:val="0025264C"/>
    <w:rsid w:val="00252905"/>
    <w:rsid w:val="002542A6"/>
    <w:rsid w:val="00255ECD"/>
    <w:rsid w:val="00257823"/>
    <w:rsid w:val="0026293E"/>
    <w:rsid w:val="0026656E"/>
    <w:rsid w:val="0026676F"/>
    <w:rsid w:val="00267E91"/>
    <w:rsid w:val="0027178B"/>
    <w:rsid w:val="002734AB"/>
    <w:rsid w:val="00273CA7"/>
    <w:rsid w:val="00275973"/>
    <w:rsid w:val="00280025"/>
    <w:rsid w:val="002809EB"/>
    <w:rsid w:val="002842C9"/>
    <w:rsid w:val="00286E94"/>
    <w:rsid w:val="00290BA2"/>
    <w:rsid w:val="002918A4"/>
    <w:rsid w:val="00291FFC"/>
    <w:rsid w:val="00292C15"/>
    <w:rsid w:val="00294F3D"/>
    <w:rsid w:val="00296051"/>
    <w:rsid w:val="002A08B0"/>
    <w:rsid w:val="002A2E62"/>
    <w:rsid w:val="002A3BBA"/>
    <w:rsid w:val="002B3301"/>
    <w:rsid w:val="002B3359"/>
    <w:rsid w:val="002B56A9"/>
    <w:rsid w:val="002B72E3"/>
    <w:rsid w:val="002C04E4"/>
    <w:rsid w:val="002C1190"/>
    <w:rsid w:val="002C211D"/>
    <w:rsid w:val="002C2E0B"/>
    <w:rsid w:val="002C3E25"/>
    <w:rsid w:val="002C52A8"/>
    <w:rsid w:val="002C54B1"/>
    <w:rsid w:val="002D0094"/>
    <w:rsid w:val="002D19A8"/>
    <w:rsid w:val="002D3472"/>
    <w:rsid w:val="002D38AC"/>
    <w:rsid w:val="002D4805"/>
    <w:rsid w:val="002E0081"/>
    <w:rsid w:val="002E01FD"/>
    <w:rsid w:val="002E0918"/>
    <w:rsid w:val="002E0E94"/>
    <w:rsid w:val="002E29AF"/>
    <w:rsid w:val="002E699F"/>
    <w:rsid w:val="002F30AD"/>
    <w:rsid w:val="002F4512"/>
    <w:rsid w:val="002F6B02"/>
    <w:rsid w:val="002F6E3B"/>
    <w:rsid w:val="002F7FB5"/>
    <w:rsid w:val="0030103C"/>
    <w:rsid w:val="0030421C"/>
    <w:rsid w:val="003042BA"/>
    <w:rsid w:val="00304505"/>
    <w:rsid w:val="00304ACB"/>
    <w:rsid w:val="00311288"/>
    <w:rsid w:val="003127B6"/>
    <w:rsid w:val="0031303E"/>
    <w:rsid w:val="003137C6"/>
    <w:rsid w:val="00317524"/>
    <w:rsid w:val="00317851"/>
    <w:rsid w:val="00321FC8"/>
    <w:rsid w:val="003235CE"/>
    <w:rsid w:val="003238D2"/>
    <w:rsid w:val="00323DCF"/>
    <w:rsid w:val="003254DF"/>
    <w:rsid w:val="0033158F"/>
    <w:rsid w:val="00332482"/>
    <w:rsid w:val="00333ED8"/>
    <w:rsid w:val="003343A5"/>
    <w:rsid w:val="00334485"/>
    <w:rsid w:val="00335AD2"/>
    <w:rsid w:val="0033641D"/>
    <w:rsid w:val="003443B4"/>
    <w:rsid w:val="003449EF"/>
    <w:rsid w:val="003458CF"/>
    <w:rsid w:val="00347582"/>
    <w:rsid w:val="00347ECA"/>
    <w:rsid w:val="00350C0E"/>
    <w:rsid w:val="00350FDA"/>
    <w:rsid w:val="003527E3"/>
    <w:rsid w:val="00360984"/>
    <w:rsid w:val="00362B53"/>
    <w:rsid w:val="003636BD"/>
    <w:rsid w:val="00363E9E"/>
    <w:rsid w:val="00367354"/>
    <w:rsid w:val="00367BA3"/>
    <w:rsid w:val="003702BD"/>
    <w:rsid w:val="00373018"/>
    <w:rsid w:val="003739AE"/>
    <w:rsid w:val="003750CB"/>
    <w:rsid w:val="0037634A"/>
    <w:rsid w:val="003827B6"/>
    <w:rsid w:val="00382817"/>
    <w:rsid w:val="00383048"/>
    <w:rsid w:val="003833EB"/>
    <w:rsid w:val="00383E68"/>
    <w:rsid w:val="00384EBA"/>
    <w:rsid w:val="00385240"/>
    <w:rsid w:val="00385732"/>
    <w:rsid w:val="003871AD"/>
    <w:rsid w:val="00387370"/>
    <w:rsid w:val="00390637"/>
    <w:rsid w:val="00390812"/>
    <w:rsid w:val="00390EC5"/>
    <w:rsid w:val="0039429E"/>
    <w:rsid w:val="003949C3"/>
    <w:rsid w:val="003A0234"/>
    <w:rsid w:val="003A0E61"/>
    <w:rsid w:val="003A3060"/>
    <w:rsid w:val="003A557C"/>
    <w:rsid w:val="003A5AB7"/>
    <w:rsid w:val="003A6CF4"/>
    <w:rsid w:val="003B1601"/>
    <w:rsid w:val="003B3162"/>
    <w:rsid w:val="003B4878"/>
    <w:rsid w:val="003B7043"/>
    <w:rsid w:val="003C07E7"/>
    <w:rsid w:val="003C373A"/>
    <w:rsid w:val="003C4B40"/>
    <w:rsid w:val="003C4EFD"/>
    <w:rsid w:val="003C56D7"/>
    <w:rsid w:val="003C5886"/>
    <w:rsid w:val="003D1695"/>
    <w:rsid w:val="003D27C4"/>
    <w:rsid w:val="003D6C9C"/>
    <w:rsid w:val="003D6D65"/>
    <w:rsid w:val="003E070C"/>
    <w:rsid w:val="003E13AE"/>
    <w:rsid w:val="003E25CA"/>
    <w:rsid w:val="003E37C0"/>
    <w:rsid w:val="003E5AD3"/>
    <w:rsid w:val="003E728B"/>
    <w:rsid w:val="003E7403"/>
    <w:rsid w:val="003F0C9D"/>
    <w:rsid w:val="003F15C0"/>
    <w:rsid w:val="003F3CC1"/>
    <w:rsid w:val="003F74B5"/>
    <w:rsid w:val="003F7CA2"/>
    <w:rsid w:val="004002F9"/>
    <w:rsid w:val="0040535F"/>
    <w:rsid w:val="00406A4D"/>
    <w:rsid w:val="004136CD"/>
    <w:rsid w:val="00415D7F"/>
    <w:rsid w:val="00417C5F"/>
    <w:rsid w:val="00421E64"/>
    <w:rsid w:val="0042324A"/>
    <w:rsid w:val="00427107"/>
    <w:rsid w:val="004304AD"/>
    <w:rsid w:val="00431827"/>
    <w:rsid w:val="0043428F"/>
    <w:rsid w:val="00441C09"/>
    <w:rsid w:val="0044245F"/>
    <w:rsid w:val="004440A3"/>
    <w:rsid w:val="004448D6"/>
    <w:rsid w:val="00447979"/>
    <w:rsid w:val="004508A2"/>
    <w:rsid w:val="00461420"/>
    <w:rsid w:val="00463886"/>
    <w:rsid w:val="004660FF"/>
    <w:rsid w:val="00467B6A"/>
    <w:rsid w:val="0047117A"/>
    <w:rsid w:val="00473494"/>
    <w:rsid w:val="00475F0C"/>
    <w:rsid w:val="00476DCE"/>
    <w:rsid w:val="00477251"/>
    <w:rsid w:val="00481BA4"/>
    <w:rsid w:val="00481C41"/>
    <w:rsid w:val="00481DFF"/>
    <w:rsid w:val="004841D5"/>
    <w:rsid w:val="004846D8"/>
    <w:rsid w:val="00484874"/>
    <w:rsid w:val="00484C51"/>
    <w:rsid w:val="00484C6C"/>
    <w:rsid w:val="00484CC4"/>
    <w:rsid w:val="004879F1"/>
    <w:rsid w:val="00491DD0"/>
    <w:rsid w:val="004A19CC"/>
    <w:rsid w:val="004A1B82"/>
    <w:rsid w:val="004A3DC2"/>
    <w:rsid w:val="004A4649"/>
    <w:rsid w:val="004A6CB8"/>
    <w:rsid w:val="004B111E"/>
    <w:rsid w:val="004B5A87"/>
    <w:rsid w:val="004C1DC4"/>
    <w:rsid w:val="004C3C41"/>
    <w:rsid w:val="004C78E4"/>
    <w:rsid w:val="004C7B31"/>
    <w:rsid w:val="004C7B95"/>
    <w:rsid w:val="004D05D8"/>
    <w:rsid w:val="004D0FA2"/>
    <w:rsid w:val="004D295E"/>
    <w:rsid w:val="004D2AAC"/>
    <w:rsid w:val="004D4917"/>
    <w:rsid w:val="004D4920"/>
    <w:rsid w:val="004D5314"/>
    <w:rsid w:val="004E12A5"/>
    <w:rsid w:val="004E1705"/>
    <w:rsid w:val="004E3AB7"/>
    <w:rsid w:val="004E3DD5"/>
    <w:rsid w:val="004E4408"/>
    <w:rsid w:val="004E59F3"/>
    <w:rsid w:val="004E5B6E"/>
    <w:rsid w:val="004E765E"/>
    <w:rsid w:val="004F2F89"/>
    <w:rsid w:val="004F7A19"/>
    <w:rsid w:val="004F7C16"/>
    <w:rsid w:val="00502FF9"/>
    <w:rsid w:val="00503784"/>
    <w:rsid w:val="0050585F"/>
    <w:rsid w:val="005067D2"/>
    <w:rsid w:val="005072D9"/>
    <w:rsid w:val="00510EA7"/>
    <w:rsid w:val="005121AD"/>
    <w:rsid w:val="00512963"/>
    <w:rsid w:val="00512E2D"/>
    <w:rsid w:val="005158E9"/>
    <w:rsid w:val="0051622E"/>
    <w:rsid w:val="005168F5"/>
    <w:rsid w:val="00517256"/>
    <w:rsid w:val="00530442"/>
    <w:rsid w:val="00531CAF"/>
    <w:rsid w:val="00540BE3"/>
    <w:rsid w:val="005413EC"/>
    <w:rsid w:val="00542064"/>
    <w:rsid w:val="0055141A"/>
    <w:rsid w:val="00553E4D"/>
    <w:rsid w:val="005608BA"/>
    <w:rsid w:val="005659B0"/>
    <w:rsid w:val="00571353"/>
    <w:rsid w:val="00572DB1"/>
    <w:rsid w:val="0057416C"/>
    <w:rsid w:val="00575E18"/>
    <w:rsid w:val="00576A42"/>
    <w:rsid w:val="00577E00"/>
    <w:rsid w:val="00577EAC"/>
    <w:rsid w:val="005825A4"/>
    <w:rsid w:val="00585898"/>
    <w:rsid w:val="00591F89"/>
    <w:rsid w:val="00592149"/>
    <w:rsid w:val="00594923"/>
    <w:rsid w:val="005974A6"/>
    <w:rsid w:val="005A0444"/>
    <w:rsid w:val="005A198E"/>
    <w:rsid w:val="005A4CC9"/>
    <w:rsid w:val="005A5384"/>
    <w:rsid w:val="005B1A95"/>
    <w:rsid w:val="005B2E63"/>
    <w:rsid w:val="005B33A2"/>
    <w:rsid w:val="005B36D1"/>
    <w:rsid w:val="005B4A9B"/>
    <w:rsid w:val="005B6876"/>
    <w:rsid w:val="005C0F44"/>
    <w:rsid w:val="005C1C7C"/>
    <w:rsid w:val="005C2687"/>
    <w:rsid w:val="005C5867"/>
    <w:rsid w:val="005C5F41"/>
    <w:rsid w:val="005D03F4"/>
    <w:rsid w:val="005D095F"/>
    <w:rsid w:val="005D0F58"/>
    <w:rsid w:val="005D1400"/>
    <w:rsid w:val="005E0E47"/>
    <w:rsid w:val="005E3713"/>
    <w:rsid w:val="005E5AC7"/>
    <w:rsid w:val="005E69F3"/>
    <w:rsid w:val="005E70B9"/>
    <w:rsid w:val="005F0C76"/>
    <w:rsid w:val="005F185B"/>
    <w:rsid w:val="005F5D8F"/>
    <w:rsid w:val="005F60F7"/>
    <w:rsid w:val="006007BE"/>
    <w:rsid w:val="00601337"/>
    <w:rsid w:val="00603EFD"/>
    <w:rsid w:val="00603F4B"/>
    <w:rsid w:val="00606FB4"/>
    <w:rsid w:val="00611552"/>
    <w:rsid w:val="00614A80"/>
    <w:rsid w:val="006161F1"/>
    <w:rsid w:val="00616F49"/>
    <w:rsid w:val="00620544"/>
    <w:rsid w:val="00620A8C"/>
    <w:rsid w:val="00620CAF"/>
    <w:rsid w:val="00622A9D"/>
    <w:rsid w:val="00622BA9"/>
    <w:rsid w:val="00624744"/>
    <w:rsid w:val="00624A14"/>
    <w:rsid w:val="00624D29"/>
    <w:rsid w:val="00632443"/>
    <w:rsid w:val="00635240"/>
    <w:rsid w:val="00640A1D"/>
    <w:rsid w:val="00642840"/>
    <w:rsid w:val="00645C5A"/>
    <w:rsid w:val="00646073"/>
    <w:rsid w:val="006515DF"/>
    <w:rsid w:val="006517AA"/>
    <w:rsid w:val="0065249E"/>
    <w:rsid w:val="00665C9D"/>
    <w:rsid w:val="00665D0E"/>
    <w:rsid w:val="0066636A"/>
    <w:rsid w:val="006672A3"/>
    <w:rsid w:val="00671FD0"/>
    <w:rsid w:val="006734F8"/>
    <w:rsid w:val="00673C33"/>
    <w:rsid w:val="006747F3"/>
    <w:rsid w:val="0067675A"/>
    <w:rsid w:val="0067787A"/>
    <w:rsid w:val="00681772"/>
    <w:rsid w:val="006844B1"/>
    <w:rsid w:val="00684B79"/>
    <w:rsid w:val="00693EA1"/>
    <w:rsid w:val="0069640A"/>
    <w:rsid w:val="006975A2"/>
    <w:rsid w:val="006A13E2"/>
    <w:rsid w:val="006A3691"/>
    <w:rsid w:val="006B1EAC"/>
    <w:rsid w:val="006B2849"/>
    <w:rsid w:val="006B2C2B"/>
    <w:rsid w:val="006B3371"/>
    <w:rsid w:val="006B3656"/>
    <w:rsid w:val="006B546A"/>
    <w:rsid w:val="006B6235"/>
    <w:rsid w:val="006B6270"/>
    <w:rsid w:val="006C4B0E"/>
    <w:rsid w:val="006C56EC"/>
    <w:rsid w:val="006C6373"/>
    <w:rsid w:val="006C6DF2"/>
    <w:rsid w:val="006D17F7"/>
    <w:rsid w:val="006D3B8A"/>
    <w:rsid w:val="006D7521"/>
    <w:rsid w:val="006D78BB"/>
    <w:rsid w:val="006E1146"/>
    <w:rsid w:val="006E4C84"/>
    <w:rsid w:val="006E62E1"/>
    <w:rsid w:val="006E68C2"/>
    <w:rsid w:val="006E6C80"/>
    <w:rsid w:val="006E6E21"/>
    <w:rsid w:val="006F508C"/>
    <w:rsid w:val="00700B9D"/>
    <w:rsid w:val="007013F2"/>
    <w:rsid w:val="0070241A"/>
    <w:rsid w:val="0070282D"/>
    <w:rsid w:val="00702F9E"/>
    <w:rsid w:val="00704DC1"/>
    <w:rsid w:val="0070513C"/>
    <w:rsid w:val="00706735"/>
    <w:rsid w:val="00707241"/>
    <w:rsid w:val="00711818"/>
    <w:rsid w:val="00720FE8"/>
    <w:rsid w:val="007221EF"/>
    <w:rsid w:val="00722BC1"/>
    <w:rsid w:val="007232DA"/>
    <w:rsid w:val="007234E8"/>
    <w:rsid w:val="0072399E"/>
    <w:rsid w:val="00732ED3"/>
    <w:rsid w:val="0073489C"/>
    <w:rsid w:val="00734BF2"/>
    <w:rsid w:val="00734F15"/>
    <w:rsid w:val="007350F1"/>
    <w:rsid w:val="007352AA"/>
    <w:rsid w:val="0073649E"/>
    <w:rsid w:val="007401D5"/>
    <w:rsid w:val="007414A3"/>
    <w:rsid w:val="00742D60"/>
    <w:rsid w:val="00743251"/>
    <w:rsid w:val="00744821"/>
    <w:rsid w:val="00744E68"/>
    <w:rsid w:val="0075122C"/>
    <w:rsid w:val="00751D37"/>
    <w:rsid w:val="007566BE"/>
    <w:rsid w:val="00757A82"/>
    <w:rsid w:val="00757D75"/>
    <w:rsid w:val="007666BF"/>
    <w:rsid w:val="007704BF"/>
    <w:rsid w:val="00770E03"/>
    <w:rsid w:val="007715CD"/>
    <w:rsid w:val="0077385F"/>
    <w:rsid w:val="0077527F"/>
    <w:rsid w:val="0077550B"/>
    <w:rsid w:val="007755D1"/>
    <w:rsid w:val="00775F9D"/>
    <w:rsid w:val="00776A5D"/>
    <w:rsid w:val="0078056D"/>
    <w:rsid w:val="00780978"/>
    <w:rsid w:val="00780A80"/>
    <w:rsid w:val="00786D22"/>
    <w:rsid w:val="007940C1"/>
    <w:rsid w:val="007943C0"/>
    <w:rsid w:val="00796B5F"/>
    <w:rsid w:val="00797CCC"/>
    <w:rsid w:val="007A029F"/>
    <w:rsid w:val="007A37E3"/>
    <w:rsid w:val="007A7C42"/>
    <w:rsid w:val="007B02D9"/>
    <w:rsid w:val="007B2A68"/>
    <w:rsid w:val="007B412C"/>
    <w:rsid w:val="007B4587"/>
    <w:rsid w:val="007B4BC4"/>
    <w:rsid w:val="007B6F79"/>
    <w:rsid w:val="007B70C3"/>
    <w:rsid w:val="007C0C3F"/>
    <w:rsid w:val="007C1509"/>
    <w:rsid w:val="007C33E3"/>
    <w:rsid w:val="007C3454"/>
    <w:rsid w:val="007C5B9B"/>
    <w:rsid w:val="007C61C7"/>
    <w:rsid w:val="007D17ED"/>
    <w:rsid w:val="007D5C98"/>
    <w:rsid w:val="007D6F26"/>
    <w:rsid w:val="007D7E7B"/>
    <w:rsid w:val="007E0BE5"/>
    <w:rsid w:val="007E3DEA"/>
    <w:rsid w:val="007E3FD6"/>
    <w:rsid w:val="007E5B74"/>
    <w:rsid w:val="00801DBD"/>
    <w:rsid w:val="00804B8C"/>
    <w:rsid w:val="00805D4C"/>
    <w:rsid w:val="008119A2"/>
    <w:rsid w:val="00812B6A"/>
    <w:rsid w:val="0081392B"/>
    <w:rsid w:val="00814351"/>
    <w:rsid w:val="00814656"/>
    <w:rsid w:val="00814887"/>
    <w:rsid w:val="00815D56"/>
    <w:rsid w:val="0082295B"/>
    <w:rsid w:val="008255D3"/>
    <w:rsid w:val="00827BD9"/>
    <w:rsid w:val="00832B79"/>
    <w:rsid w:val="008373A7"/>
    <w:rsid w:val="0084051F"/>
    <w:rsid w:val="00840835"/>
    <w:rsid w:val="00844732"/>
    <w:rsid w:val="008451FD"/>
    <w:rsid w:val="0084528C"/>
    <w:rsid w:val="0084601E"/>
    <w:rsid w:val="00850E96"/>
    <w:rsid w:val="008531EA"/>
    <w:rsid w:val="00855734"/>
    <w:rsid w:val="00855E82"/>
    <w:rsid w:val="0086066E"/>
    <w:rsid w:val="0086094B"/>
    <w:rsid w:val="00862E17"/>
    <w:rsid w:val="008638D6"/>
    <w:rsid w:val="008713F7"/>
    <w:rsid w:val="0087604C"/>
    <w:rsid w:val="008775F8"/>
    <w:rsid w:val="00883425"/>
    <w:rsid w:val="00883894"/>
    <w:rsid w:val="0088633A"/>
    <w:rsid w:val="00887EF9"/>
    <w:rsid w:val="00890DFA"/>
    <w:rsid w:val="00891124"/>
    <w:rsid w:val="008914E1"/>
    <w:rsid w:val="00895F3A"/>
    <w:rsid w:val="008967FF"/>
    <w:rsid w:val="008A3B01"/>
    <w:rsid w:val="008A4478"/>
    <w:rsid w:val="008A6351"/>
    <w:rsid w:val="008B0850"/>
    <w:rsid w:val="008B0857"/>
    <w:rsid w:val="008B15F8"/>
    <w:rsid w:val="008B2135"/>
    <w:rsid w:val="008B5380"/>
    <w:rsid w:val="008B592B"/>
    <w:rsid w:val="008B5A3D"/>
    <w:rsid w:val="008B6511"/>
    <w:rsid w:val="008B7E4D"/>
    <w:rsid w:val="008C0D46"/>
    <w:rsid w:val="008C71B3"/>
    <w:rsid w:val="008D4670"/>
    <w:rsid w:val="008D54DF"/>
    <w:rsid w:val="008D71FC"/>
    <w:rsid w:val="008F1DAD"/>
    <w:rsid w:val="008F26BD"/>
    <w:rsid w:val="008F5262"/>
    <w:rsid w:val="0090307F"/>
    <w:rsid w:val="009040BE"/>
    <w:rsid w:val="00905FF9"/>
    <w:rsid w:val="00906B1E"/>
    <w:rsid w:val="00907EA0"/>
    <w:rsid w:val="00912954"/>
    <w:rsid w:val="0091310D"/>
    <w:rsid w:val="009131C5"/>
    <w:rsid w:val="0091322D"/>
    <w:rsid w:val="00914232"/>
    <w:rsid w:val="0091465B"/>
    <w:rsid w:val="00915E6F"/>
    <w:rsid w:val="00922C43"/>
    <w:rsid w:val="00923FD7"/>
    <w:rsid w:val="00933242"/>
    <w:rsid w:val="00934357"/>
    <w:rsid w:val="009355C9"/>
    <w:rsid w:val="0094018C"/>
    <w:rsid w:val="00940841"/>
    <w:rsid w:val="00942445"/>
    <w:rsid w:val="00942FA5"/>
    <w:rsid w:val="00944C1E"/>
    <w:rsid w:val="009466CC"/>
    <w:rsid w:val="00947D28"/>
    <w:rsid w:val="0095019F"/>
    <w:rsid w:val="0095191A"/>
    <w:rsid w:val="009519E2"/>
    <w:rsid w:val="00956EE6"/>
    <w:rsid w:val="009570DE"/>
    <w:rsid w:val="00963184"/>
    <w:rsid w:val="00964B99"/>
    <w:rsid w:val="00967F62"/>
    <w:rsid w:val="009708DB"/>
    <w:rsid w:val="00971292"/>
    <w:rsid w:val="00971B40"/>
    <w:rsid w:val="00972412"/>
    <w:rsid w:val="00973BAC"/>
    <w:rsid w:val="009743E9"/>
    <w:rsid w:val="009744B1"/>
    <w:rsid w:val="00975CC8"/>
    <w:rsid w:val="009773BC"/>
    <w:rsid w:val="009774AE"/>
    <w:rsid w:val="0098051B"/>
    <w:rsid w:val="00983EA6"/>
    <w:rsid w:val="00990BDB"/>
    <w:rsid w:val="009932D7"/>
    <w:rsid w:val="00994EA5"/>
    <w:rsid w:val="00995030"/>
    <w:rsid w:val="0099585A"/>
    <w:rsid w:val="00995E54"/>
    <w:rsid w:val="00997020"/>
    <w:rsid w:val="00997303"/>
    <w:rsid w:val="00997898"/>
    <w:rsid w:val="009A32FB"/>
    <w:rsid w:val="009A4833"/>
    <w:rsid w:val="009A6EE0"/>
    <w:rsid w:val="009B15FF"/>
    <w:rsid w:val="009B1807"/>
    <w:rsid w:val="009B24B6"/>
    <w:rsid w:val="009B619C"/>
    <w:rsid w:val="009B61B1"/>
    <w:rsid w:val="009C0D5B"/>
    <w:rsid w:val="009C180C"/>
    <w:rsid w:val="009C1955"/>
    <w:rsid w:val="009C58F1"/>
    <w:rsid w:val="009D06EE"/>
    <w:rsid w:val="009D35D2"/>
    <w:rsid w:val="009D3D50"/>
    <w:rsid w:val="009D4C2F"/>
    <w:rsid w:val="009D555A"/>
    <w:rsid w:val="009D6426"/>
    <w:rsid w:val="009D657D"/>
    <w:rsid w:val="009E2D29"/>
    <w:rsid w:val="009E5A8F"/>
    <w:rsid w:val="009E6724"/>
    <w:rsid w:val="009F1637"/>
    <w:rsid w:val="009F4857"/>
    <w:rsid w:val="009F66AD"/>
    <w:rsid w:val="009F6FD3"/>
    <w:rsid w:val="009F7559"/>
    <w:rsid w:val="009F7795"/>
    <w:rsid w:val="00A000C3"/>
    <w:rsid w:val="00A00F8B"/>
    <w:rsid w:val="00A0422C"/>
    <w:rsid w:val="00A110D9"/>
    <w:rsid w:val="00A11973"/>
    <w:rsid w:val="00A12609"/>
    <w:rsid w:val="00A16028"/>
    <w:rsid w:val="00A20DAD"/>
    <w:rsid w:val="00A2404C"/>
    <w:rsid w:val="00A26A1B"/>
    <w:rsid w:val="00A27F88"/>
    <w:rsid w:val="00A343BD"/>
    <w:rsid w:val="00A36AD6"/>
    <w:rsid w:val="00A425F2"/>
    <w:rsid w:val="00A42731"/>
    <w:rsid w:val="00A4520F"/>
    <w:rsid w:val="00A4673F"/>
    <w:rsid w:val="00A46BE2"/>
    <w:rsid w:val="00A46EBF"/>
    <w:rsid w:val="00A52660"/>
    <w:rsid w:val="00A5585A"/>
    <w:rsid w:val="00A55AD3"/>
    <w:rsid w:val="00A56907"/>
    <w:rsid w:val="00A605F9"/>
    <w:rsid w:val="00A6209C"/>
    <w:rsid w:val="00A64415"/>
    <w:rsid w:val="00A646A0"/>
    <w:rsid w:val="00A66D6D"/>
    <w:rsid w:val="00A75360"/>
    <w:rsid w:val="00A75657"/>
    <w:rsid w:val="00A75710"/>
    <w:rsid w:val="00A76B04"/>
    <w:rsid w:val="00A77C62"/>
    <w:rsid w:val="00A825CC"/>
    <w:rsid w:val="00A83092"/>
    <w:rsid w:val="00A8482D"/>
    <w:rsid w:val="00A878B7"/>
    <w:rsid w:val="00A93FD1"/>
    <w:rsid w:val="00A97C98"/>
    <w:rsid w:val="00AA02C4"/>
    <w:rsid w:val="00AA1032"/>
    <w:rsid w:val="00AA1A99"/>
    <w:rsid w:val="00AB066F"/>
    <w:rsid w:val="00AB4066"/>
    <w:rsid w:val="00AB57CA"/>
    <w:rsid w:val="00AB5906"/>
    <w:rsid w:val="00AB7023"/>
    <w:rsid w:val="00AB7079"/>
    <w:rsid w:val="00AC3AA0"/>
    <w:rsid w:val="00AC3FDA"/>
    <w:rsid w:val="00AC4786"/>
    <w:rsid w:val="00AC5C22"/>
    <w:rsid w:val="00AD079D"/>
    <w:rsid w:val="00AD1691"/>
    <w:rsid w:val="00AD331E"/>
    <w:rsid w:val="00AD38B5"/>
    <w:rsid w:val="00AD3C14"/>
    <w:rsid w:val="00AD4B50"/>
    <w:rsid w:val="00AD7C52"/>
    <w:rsid w:val="00AD7EFE"/>
    <w:rsid w:val="00AE1C3E"/>
    <w:rsid w:val="00AE71F4"/>
    <w:rsid w:val="00AF10FD"/>
    <w:rsid w:val="00AF77D6"/>
    <w:rsid w:val="00B01774"/>
    <w:rsid w:val="00B110DA"/>
    <w:rsid w:val="00B12C54"/>
    <w:rsid w:val="00B13D14"/>
    <w:rsid w:val="00B15204"/>
    <w:rsid w:val="00B17862"/>
    <w:rsid w:val="00B20721"/>
    <w:rsid w:val="00B2272D"/>
    <w:rsid w:val="00B2395A"/>
    <w:rsid w:val="00B23A5D"/>
    <w:rsid w:val="00B24246"/>
    <w:rsid w:val="00B30BB2"/>
    <w:rsid w:val="00B311DF"/>
    <w:rsid w:val="00B334DC"/>
    <w:rsid w:val="00B34F51"/>
    <w:rsid w:val="00B3571F"/>
    <w:rsid w:val="00B367B0"/>
    <w:rsid w:val="00B4008B"/>
    <w:rsid w:val="00B40CF9"/>
    <w:rsid w:val="00B41F95"/>
    <w:rsid w:val="00B448C0"/>
    <w:rsid w:val="00B476C5"/>
    <w:rsid w:val="00B4788B"/>
    <w:rsid w:val="00B502BD"/>
    <w:rsid w:val="00B50448"/>
    <w:rsid w:val="00B526B1"/>
    <w:rsid w:val="00B52E2A"/>
    <w:rsid w:val="00B55361"/>
    <w:rsid w:val="00B57EB9"/>
    <w:rsid w:val="00B60529"/>
    <w:rsid w:val="00B610FC"/>
    <w:rsid w:val="00B709D7"/>
    <w:rsid w:val="00B7135D"/>
    <w:rsid w:val="00B752B1"/>
    <w:rsid w:val="00B757D8"/>
    <w:rsid w:val="00B763C1"/>
    <w:rsid w:val="00B81C95"/>
    <w:rsid w:val="00B8238A"/>
    <w:rsid w:val="00B828D9"/>
    <w:rsid w:val="00B8361D"/>
    <w:rsid w:val="00B842D5"/>
    <w:rsid w:val="00B84F51"/>
    <w:rsid w:val="00B86B83"/>
    <w:rsid w:val="00B91F2B"/>
    <w:rsid w:val="00B93D92"/>
    <w:rsid w:val="00B94BCB"/>
    <w:rsid w:val="00B952A3"/>
    <w:rsid w:val="00B954E7"/>
    <w:rsid w:val="00B97C71"/>
    <w:rsid w:val="00BA0F02"/>
    <w:rsid w:val="00BA2554"/>
    <w:rsid w:val="00BA28B0"/>
    <w:rsid w:val="00BA3041"/>
    <w:rsid w:val="00BA46C3"/>
    <w:rsid w:val="00BA4720"/>
    <w:rsid w:val="00BA5ACF"/>
    <w:rsid w:val="00BB0FCD"/>
    <w:rsid w:val="00BB156C"/>
    <w:rsid w:val="00BB1745"/>
    <w:rsid w:val="00BB23FA"/>
    <w:rsid w:val="00BB576E"/>
    <w:rsid w:val="00BB5AB4"/>
    <w:rsid w:val="00BC148A"/>
    <w:rsid w:val="00BC2C53"/>
    <w:rsid w:val="00BD0E0C"/>
    <w:rsid w:val="00BD26F3"/>
    <w:rsid w:val="00BD4AAF"/>
    <w:rsid w:val="00BD6709"/>
    <w:rsid w:val="00BE19AD"/>
    <w:rsid w:val="00BE35E8"/>
    <w:rsid w:val="00BE4CF5"/>
    <w:rsid w:val="00BE52E9"/>
    <w:rsid w:val="00BE624D"/>
    <w:rsid w:val="00BE715D"/>
    <w:rsid w:val="00BF3D21"/>
    <w:rsid w:val="00BF51CC"/>
    <w:rsid w:val="00BF6F49"/>
    <w:rsid w:val="00BF700E"/>
    <w:rsid w:val="00C00113"/>
    <w:rsid w:val="00C052F1"/>
    <w:rsid w:val="00C05814"/>
    <w:rsid w:val="00C070E4"/>
    <w:rsid w:val="00C10460"/>
    <w:rsid w:val="00C15B6F"/>
    <w:rsid w:val="00C16733"/>
    <w:rsid w:val="00C203EC"/>
    <w:rsid w:val="00C2236D"/>
    <w:rsid w:val="00C2239C"/>
    <w:rsid w:val="00C23272"/>
    <w:rsid w:val="00C2535F"/>
    <w:rsid w:val="00C31F34"/>
    <w:rsid w:val="00C32FF1"/>
    <w:rsid w:val="00C34233"/>
    <w:rsid w:val="00C3545D"/>
    <w:rsid w:val="00C35BF5"/>
    <w:rsid w:val="00C40652"/>
    <w:rsid w:val="00C42229"/>
    <w:rsid w:val="00C43396"/>
    <w:rsid w:val="00C43D82"/>
    <w:rsid w:val="00C4484B"/>
    <w:rsid w:val="00C4515F"/>
    <w:rsid w:val="00C534BC"/>
    <w:rsid w:val="00C53744"/>
    <w:rsid w:val="00C62F69"/>
    <w:rsid w:val="00C65630"/>
    <w:rsid w:val="00C660C7"/>
    <w:rsid w:val="00C702FA"/>
    <w:rsid w:val="00C72127"/>
    <w:rsid w:val="00C73A4D"/>
    <w:rsid w:val="00C742E7"/>
    <w:rsid w:val="00C759A2"/>
    <w:rsid w:val="00C76946"/>
    <w:rsid w:val="00C81CBB"/>
    <w:rsid w:val="00C8313E"/>
    <w:rsid w:val="00C83900"/>
    <w:rsid w:val="00C84DCB"/>
    <w:rsid w:val="00C854DF"/>
    <w:rsid w:val="00C91FB8"/>
    <w:rsid w:val="00C975CA"/>
    <w:rsid w:val="00CA14CB"/>
    <w:rsid w:val="00CA18DF"/>
    <w:rsid w:val="00CA1A2D"/>
    <w:rsid w:val="00CA3CE3"/>
    <w:rsid w:val="00CA68CF"/>
    <w:rsid w:val="00CA6FBB"/>
    <w:rsid w:val="00CA7CD5"/>
    <w:rsid w:val="00CB1BED"/>
    <w:rsid w:val="00CB29B7"/>
    <w:rsid w:val="00CB3724"/>
    <w:rsid w:val="00CB374D"/>
    <w:rsid w:val="00CB7E7F"/>
    <w:rsid w:val="00CC0052"/>
    <w:rsid w:val="00CC0450"/>
    <w:rsid w:val="00CC081C"/>
    <w:rsid w:val="00CC09E8"/>
    <w:rsid w:val="00CC7ACD"/>
    <w:rsid w:val="00CC7B32"/>
    <w:rsid w:val="00CD17CD"/>
    <w:rsid w:val="00CE2B3A"/>
    <w:rsid w:val="00CE4AA6"/>
    <w:rsid w:val="00CE5C3B"/>
    <w:rsid w:val="00CF31C8"/>
    <w:rsid w:val="00CF4425"/>
    <w:rsid w:val="00D01372"/>
    <w:rsid w:val="00D01AC0"/>
    <w:rsid w:val="00D0207D"/>
    <w:rsid w:val="00D058B4"/>
    <w:rsid w:val="00D06A0A"/>
    <w:rsid w:val="00D10A0D"/>
    <w:rsid w:val="00D11181"/>
    <w:rsid w:val="00D11ED6"/>
    <w:rsid w:val="00D13B5A"/>
    <w:rsid w:val="00D14BC9"/>
    <w:rsid w:val="00D24C22"/>
    <w:rsid w:val="00D25C4C"/>
    <w:rsid w:val="00D261C7"/>
    <w:rsid w:val="00D26481"/>
    <w:rsid w:val="00D27C5D"/>
    <w:rsid w:val="00D311EE"/>
    <w:rsid w:val="00D31384"/>
    <w:rsid w:val="00D3172A"/>
    <w:rsid w:val="00D32665"/>
    <w:rsid w:val="00D34368"/>
    <w:rsid w:val="00D36C02"/>
    <w:rsid w:val="00D43455"/>
    <w:rsid w:val="00D45C9F"/>
    <w:rsid w:val="00D466F7"/>
    <w:rsid w:val="00D46F77"/>
    <w:rsid w:val="00D46F8A"/>
    <w:rsid w:val="00D5084F"/>
    <w:rsid w:val="00D5508B"/>
    <w:rsid w:val="00D550BC"/>
    <w:rsid w:val="00D57092"/>
    <w:rsid w:val="00D578BD"/>
    <w:rsid w:val="00D60B51"/>
    <w:rsid w:val="00D62A02"/>
    <w:rsid w:val="00D659FC"/>
    <w:rsid w:val="00D65BE6"/>
    <w:rsid w:val="00D66198"/>
    <w:rsid w:val="00D66AC3"/>
    <w:rsid w:val="00D66DF3"/>
    <w:rsid w:val="00D733FC"/>
    <w:rsid w:val="00D75505"/>
    <w:rsid w:val="00D76DE8"/>
    <w:rsid w:val="00D83C6C"/>
    <w:rsid w:val="00D847BC"/>
    <w:rsid w:val="00D87A1B"/>
    <w:rsid w:val="00D87ECE"/>
    <w:rsid w:val="00D90DA4"/>
    <w:rsid w:val="00D9710C"/>
    <w:rsid w:val="00D9793A"/>
    <w:rsid w:val="00DA2904"/>
    <w:rsid w:val="00DA3B05"/>
    <w:rsid w:val="00DA439E"/>
    <w:rsid w:val="00DA6501"/>
    <w:rsid w:val="00DB1E18"/>
    <w:rsid w:val="00DB31E6"/>
    <w:rsid w:val="00DB748A"/>
    <w:rsid w:val="00DB7DE2"/>
    <w:rsid w:val="00DC058D"/>
    <w:rsid w:val="00DC3AB0"/>
    <w:rsid w:val="00DC5EA8"/>
    <w:rsid w:val="00DD0214"/>
    <w:rsid w:val="00DD2ED2"/>
    <w:rsid w:val="00DD4314"/>
    <w:rsid w:val="00DD7E95"/>
    <w:rsid w:val="00DE56BA"/>
    <w:rsid w:val="00DE5F8D"/>
    <w:rsid w:val="00DE7DEE"/>
    <w:rsid w:val="00DF199A"/>
    <w:rsid w:val="00DF4922"/>
    <w:rsid w:val="00DF4C36"/>
    <w:rsid w:val="00DF5284"/>
    <w:rsid w:val="00DF5E18"/>
    <w:rsid w:val="00DF61E0"/>
    <w:rsid w:val="00E050F5"/>
    <w:rsid w:val="00E058A9"/>
    <w:rsid w:val="00E112F7"/>
    <w:rsid w:val="00E13F73"/>
    <w:rsid w:val="00E14F80"/>
    <w:rsid w:val="00E17248"/>
    <w:rsid w:val="00E17CD6"/>
    <w:rsid w:val="00E17F8C"/>
    <w:rsid w:val="00E20A0A"/>
    <w:rsid w:val="00E20B8E"/>
    <w:rsid w:val="00E27354"/>
    <w:rsid w:val="00E27BB8"/>
    <w:rsid w:val="00E32110"/>
    <w:rsid w:val="00E37EB2"/>
    <w:rsid w:val="00E41B7E"/>
    <w:rsid w:val="00E42B91"/>
    <w:rsid w:val="00E4331F"/>
    <w:rsid w:val="00E45760"/>
    <w:rsid w:val="00E5165B"/>
    <w:rsid w:val="00E56F77"/>
    <w:rsid w:val="00E57EA2"/>
    <w:rsid w:val="00E62262"/>
    <w:rsid w:val="00E665F5"/>
    <w:rsid w:val="00E67CEA"/>
    <w:rsid w:val="00E711A5"/>
    <w:rsid w:val="00E7137F"/>
    <w:rsid w:val="00E715CF"/>
    <w:rsid w:val="00E72E88"/>
    <w:rsid w:val="00E7394D"/>
    <w:rsid w:val="00E74628"/>
    <w:rsid w:val="00E77488"/>
    <w:rsid w:val="00E776E7"/>
    <w:rsid w:val="00E80330"/>
    <w:rsid w:val="00E8432A"/>
    <w:rsid w:val="00E8474B"/>
    <w:rsid w:val="00E84F66"/>
    <w:rsid w:val="00E8544D"/>
    <w:rsid w:val="00E85756"/>
    <w:rsid w:val="00E8689D"/>
    <w:rsid w:val="00E91CAF"/>
    <w:rsid w:val="00E93D1B"/>
    <w:rsid w:val="00E95EBB"/>
    <w:rsid w:val="00EA17CC"/>
    <w:rsid w:val="00EA30A2"/>
    <w:rsid w:val="00EA407F"/>
    <w:rsid w:val="00EA4A50"/>
    <w:rsid w:val="00EA549D"/>
    <w:rsid w:val="00EA592D"/>
    <w:rsid w:val="00EB1403"/>
    <w:rsid w:val="00EB3ABF"/>
    <w:rsid w:val="00EB4F3C"/>
    <w:rsid w:val="00EB6F7E"/>
    <w:rsid w:val="00EC28A8"/>
    <w:rsid w:val="00EC3C4D"/>
    <w:rsid w:val="00EC5612"/>
    <w:rsid w:val="00EC6F21"/>
    <w:rsid w:val="00EC7C97"/>
    <w:rsid w:val="00ED1A84"/>
    <w:rsid w:val="00ED1C30"/>
    <w:rsid w:val="00EE3121"/>
    <w:rsid w:val="00EE346C"/>
    <w:rsid w:val="00EE4896"/>
    <w:rsid w:val="00EE4A5C"/>
    <w:rsid w:val="00EE7893"/>
    <w:rsid w:val="00EF0D68"/>
    <w:rsid w:val="00EF493D"/>
    <w:rsid w:val="00EF5CDA"/>
    <w:rsid w:val="00EF6813"/>
    <w:rsid w:val="00F02CA1"/>
    <w:rsid w:val="00F07B5C"/>
    <w:rsid w:val="00F10101"/>
    <w:rsid w:val="00F10A39"/>
    <w:rsid w:val="00F14BAC"/>
    <w:rsid w:val="00F173A5"/>
    <w:rsid w:val="00F211C9"/>
    <w:rsid w:val="00F2435A"/>
    <w:rsid w:val="00F25A57"/>
    <w:rsid w:val="00F26433"/>
    <w:rsid w:val="00F26A91"/>
    <w:rsid w:val="00F32987"/>
    <w:rsid w:val="00F34017"/>
    <w:rsid w:val="00F34756"/>
    <w:rsid w:val="00F347F0"/>
    <w:rsid w:val="00F34C68"/>
    <w:rsid w:val="00F35152"/>
    <w:rsid w:val="00F369D0"/>
    <w:rsid w:val="00F4330B"/>
    <w:rsid w:val="00F44181"/>
    <w:rsid w:val="00F45653"/>
    <w:rsid w:val="00F50DDE"/>
    <w:rsid w:val="00F52957"/>
    <w:rsid w:val="00F54590"/>
    <w:rsid w:val="00F54A44"/>
    <w:rsid w:val="00F54C1A"/>
    <w:rsid w:val="00F5529C"/>
    <w:rsid w:val="00F5590A"/>
    <w:rsid w:val="00F61003"/>
    <w:rsid w:val="00F61318"/>
    <w:rsid w:val="00F63188"/>
    <w:rsid w:val="00F637A5"/>
    <w:rsid w:val="00F67DD2"/>
    <w:rsid w:val="00F72910"/>
    <w:rsid w:val="00F7455E"/>
    <w:rsid w:val="00F74FE1"/>
    <w:rsid w:val="00F75DB1"/>
    <w:rsid w:val="00F76BE4"/>
    <w:rsid w:val="00F77E3B"/>
    <w:rsid w:val="00F80CFC"/>
    <w:rsid w:val="00F84AE7"/>
    <w:rsid w:val="00F927A8"/>
    <w:rsid w:val="00FA1A9F"/>
    <w:rsid w:val="00FA2383"/>
    <w:rsid w:val="00FA2DF7"/>
    <w:rsid w:val="00FA3594"/>
    <w:rsid w:val="00FA51F3"/>
    <w:rsid w:val="00FA7150"/>
    <w:rsid w:val="00FB177B"/>
    <w:rsid w:val="00FB45C9"/>
    <w:rsid w:val="00FB54F9"/>
    <w:rsid w:val="00FB6EC2"/>
    <w:rsid w:val="00FC0227"/>
    <w:rsid w:val="00FC2C95"/>
    <w:rsid w:val="00FC6D17"/>
    <w:rsid w:val="00FC6D54"/>
    <w:rsid w:val="00FC71C6"/>
    <w:rsid w:val="00FC7F33"/>
    <w:rsid w:val="00FD0170"/>
    <w:rsid w:val="00FD4DF5"/>
    <w:rsid w:val="00FD601A"/>
    <w:rsid w:val="00FD6429"/>
    <w:rsid w:val="00FD6C09"/>
    <w:rsid w:val="00FD7393"/>
    <w:rsid w:val="00FE0178"/>
    <w:rsid w:val="00FE449D"/>
    <w:rsid w:val="00FE4B21"/>
    <w:rsid w:val="00FE54BB"/>
    <w:rsid w:val="00FE550C"/>
    <w:rsid w:val="00FE5D81"/>
    <w:rsid w:val="00FE6B6A"/>
    <w:rsid w:val="00FE7E64"/>
    <w:rsid w:val="00FF0E2B"/>
    <w:rsid w:val="00FF194C"/>
    <w:rsid w:val="00FF3198"/>
    <w:rsid w:val="00FF650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468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1772"/>
    <w:rPr>
      <w:rFonts w:ascii="Times New Roman" w:eastAsia="Times New Roman" w:hAnsi="Times New Roman"/>
      <w:sz w:val="24"/>
      <w:szCs w:val="24"/>
    </w:rPr>
  </w:style>
  <w:style w:type="paragraph" w:styleId="Heading2">
    <w:name w:val="heading 2"/>
    <w:basedOn w:val="Normal"/>
    <w:next w:val="Normal"/>
    <w:link w:val="Heading2Char"/>
    <w:qFormat/>
    <w:rsid w:val="00681772"/>
    <w:pPr>
      <w:keepNext/>
      <w:widowControl w:val="0"/>
      <w:tabs>
        <w:tab w:val="left" w:pos="990"/>
        <w:tab w:val="left" w:pos="1710"/>
        <w:tab w:val="left" w:pos="2430"/>
        <w:tab w:val="left" w:pos="3150"/>
        <w:tab w:val="left" w:pos="3870"/>
        <w:tab w:val="left" w:pos="4590"/>
        <w:tab w:val="left" w:pos="5310"/>
        <w:tab w:val="left" w:pos="6030"/>
        <w:tab w:val="left" w:pos="6750"/>
        <w:tab w:val="left" w:pos="7470"/>
        <w:tab w:val="left" w:pos="8190"/>
        <w:tab w:val="left" w:pos="9630"/>
      </w:tabs>
      <w:jc w:val="both"/>
      <w:outlineLvl w:val="1"/>
    </w:pPr>
    <w:rPr>
      <w:rFonts w:ascii="Arial" w:hAnsi="Arial"/>
      <w:b/>
      <w:snapToGrid w:val="0"/>
      <w:szCs w:val="20"/>
    </w:rPr>
  </w:style>
  <w:style w:type="paragraph" w:styleId="Heading3">
    <w:name w:val="heading 3"/>
    <w:basedOn w:val="Normal"/>
    <w:next w:val="Normal"/>
    <w:link w:val="Heading3Char"/>
    <w:qFormat/>
    <w:rsid w:val="00681772"/>
    <w:pPr>
      <w:keepNext/>
      <w:widowControl w:val="0"/>
      <w:tabs>
        <w:tab w:val="left" w:pos="990"/>
        <w:tab w:val="left" w:pos="1710"/>
        <w:tab w:val="left" w:pos="2430"/>
        <w:tab w:val="left" w:pos="3150"/>
        <w:tab w:val="left" w:pos="3870"/>
        <w:tab w:val="left" w:pos="4590"/>
        <w:tab w:val="left" w:pos="5310"/>
        <w:tab w:val="left" w:pos="6030"/>
        <w:tab w:val="left" w:pos="6750"/>
        <w:tab w:val="left" w:pos="7470"/>
        <w:tab w:val="left" w:pos="8190"/>
      </w:tabs>
      <w:outlineLvl w:val="2"/>
    </w:pPr>
    <w:rPr>
      <w:rFonts w:ascii="Arial" w:hAnsi="Arial"/>
      <w:b/>
      <w:snapToGrid w:val="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681772"/>
    <w:rPr>
      <w:rFonts w:ascii="Arial" w:eastAsia="Times New Roman" w:hAnsi="Arial" w:cs="Times New Roman"/>
      <w:b/>
      <w:snapToGrid w:val="0"/>
      <w:sz w:val="24"/>
      <w:szCs w:val="20"/>
    </w:rPr>
  </w:style>
  <w:style w:type="character" w:customStyle="1" w:styleId="Heading3Char">
    <w:name w:val="Heading 3 Char"/>
    <w:link w:val="Heading3"/>
    <w:rsid w:val="00681772"/>
    <w:rPr>
      <w:rFonts w:ascii="Arial" w:eastAsia="Times New Roman" w:hAnsi="Arial" w:cs="Times New Roman"/>
      <w:b/>
      <w:snapToGrid w:val="0"/>
      <w:sz w:val="24"/>
      <w:szCs w:val="20"/>
    </w:rPr>
  </w:style>
  <w:style w:type="paragraph" w:styleId="BodyText2">
    <w:name w:val="Body Text 2"/>
    <w:basedOn w:val="Normal"/>
    <w:link w:val="BodyText2Char"/>
    <w:rsid w:val="00681772"/>
    <w:pPr>
      <w:widowControl w:val="0"/>
      <w:tabs>
        <w:tab w:val="left" w:pos="990"/>
        <w:tab w:val="left" w:pos="1710"/>
        <w:tab w:val="left" w:pos="2430"/>
        <w:tab w:val="left" w:pos="3150"/>
        <w:tab w:val="left" w:pos="3870"/>
        <w:tab w:val="left" w:pos="4590"/>
        <w:tab w:val="left" w:pos="5310"/>
        <w:tab w:val="left" w:pos="6030"/>
        <w:tab w:val="left" w:pos="6750"/>
        <w:tab w:val="left" w:pos="7470"/>
        <w:tab w:val="left" w:pos="8190"/>
      </w:tabs>
    </w:pPr>
    <w:rPr>
      <w:rFonts w:ascii="Arial" w:hAnsi="Arial"/>
      <w:b/>
      <w:i/>
      <w:snapToGrid w:val="0"/>
      <w:szCs w:val="20"/>
      <w:u w:val="single"/>
    </w:rPr>
  </w:style>
  <w:style w:type="character" w:customStyle="1" w:styleId="BodyText2Char">
    <w:name w:val="Body Text 2 Char"/>
    <w:link w:val="BodyText2"/>
    <w:rsid w:val="00681772"/>
    <w:rPr>
      <w:rFonts w:ascii="Arial" w:eastAsia="Times New Roman" w:hAnsi="Arial" w:cs="Times New Roman"/>
      <w:b/>
      <w:i/>
      <w:snapToGrid w:val="0"/>
      <w:sz w:val="24"/>
      <w:szCs w:val="20"/>
      <w:u w:val="single"/>
    </w:rPr>
  </w:style>
  <w:style w:type="paragraph" w:styleId="BalloonText">
    <w:name w:val="Balloon Text"/>
    <w:basedOn w:val="Normal"/>
    <w:link w:val="BalloonTextChar"/>
    <w:uiPriority w:val="99"/>
    <w:semiHidden/>
    <w:unhideWhenUsed/>
    <w:rsid w:val="00681772"/>
    <w:rPr>
      <w:rFonts w:ascii="Tahoma" w:hAnsi="Tahoma"/>
      <w:sz w:val="16"/>
      <w:szCs w:val="16"/>
    </w:rPr>
  </w:style>
  <w:style w:type="character" w:customStyle="1" w:styleId="BalloonTextChar">
    <w:name w:val="Balloon Text Char"/>
    <w:link w:val="BalloonText"/>
    <w:uiPriority w:val="99"/>
    <w:semiHidden/>
    <w:rsid w:val="00681772"/>
    <w:rPr>
      <w:rFonts w:ascii="Tahoma" w:eastAsia="Times New Roman" w:hAnsi="Tahoma" w:cs="Tahoma"/>
      <w:sz w:val="16"/>
      <w:szCs w:val="16"/>
    </w:rPr>
  </w:style>
  <w:style w:type="paragraph" w:styleId="Header">
    <w:name w:val="header"/>
    <w:basedOn w:val="Normal"/>
    <w:link w:val="HeaderChar"/>
    <w:uiPriority w:val="99"/>
    <w:unhideWhenUsed/>
    <w:rsid w:val="005B1A95"/>
    <w:pPr>
      <w:tabs>
        <w:tab w:val="center" w:pos="4680"/>
        <w:tab w:val="right" w:pos="9360"/>
      </w:tabs>
    </w:pPr>
  </w:style>
  <w:style w:type="character" w:customStyle="1" w:styleId="HeaderChar">
    <w:name w:val="Header Char"/>
    <w:link w:val="Header"/>
    <w:uiPriority w:val="99"/>
    <w:rsid w:val="005B1A95"/>
    <w:rPr>
      <w:rFonts w:ascii="Times New Roman" w:eastAsia="Times New Roman" w:hAnsi="Times New Roman"/>
      <w:sz w:val="24"/>
      <w:szCs w:val="24"/>
    </w:rPr>
  </w:style>
  <w:style w:type="paragraph" w:styleId="Footer">
    <w:name w:val="footer"/>
    <w:basedOn w:val="Normal"/>
    <w:link w:val="FooterChar"/>
    <w:uiPriority w:val="99"/>
    <w:unhideWhenUsed/>
    <w:rsid w:val="005B1A95"/>
    <w:pPr>
      <w:tabs>
        <w:tab w:val="center" w:pos="4680"/>
        <w:tab w:val="right" w:pos="9360"/>
      </w:tabs>
    </w:pPr>
  </w:style>
  <w:style w:type="character" w:customStyle="1" w:styleId="FooterChar">
    <w:name w:val="Footer Char"/>
    <w:link w:val="Footer"/>
    <w:uiPriority w:val="99"/>
    <w:rsid w:val="005B1A95"/>
    <w:rPr>
      <w:rFonts w:ascii="Times New Roman" w:eastAsia="Times New Roman" w:hAnsi="Times New Roman"/>
      <w:sz w:val="24"/>
      <w:szCs w:val="24"/>
    </w:rPr>
  </w:style>
  <w:style w:type="character" w:styleId="Strong">
    <w:name w:val="Strong"/>
    <w:basedOn w:val="DefaultParagraphFont"/>
    <w:uiPriority w:val="22"/>
    <w:qFormat/>
    <w:rsid w:val="001D32E6"/>
    <w:rPr>
      <w:b/>
      <w:bCs/>
    </w:rPr>
  </w:style>
  <w:style w:type="paragraph" w:styleId="NormalWeb">
    <w:name w:val="Normal (Web)"/>
    <w:basedOn w:val="Normal"/>
    <w:uiPriority w:val="99"/>
    <w:unhideWhenUsed/>
    <w:rsid w:val="001D32E6"/>
    <w:pPr>
      <w:spacing w:before="100" w:beforeAutospacing="1" w:after="100" w:afterAutospacing="1"/>
    </w:pPr>
  </w:style>
  <w:style w:type="paragraph" w:styleId="HTMLPreformatted">
    <w:name w:val="HTML Preformatted"/>
    <w:basedOn w:val="Normal"/>
    <w:link w:val="HTMLPreformattedChar"/>
    <w:uiPriority w:val="99"/>
    <w:semiHidden/>
    <w:unhideWhenUsed/>
    <w:rsid w:val="00F329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F32987"/>
    <w:rPr>
      <w:rFonts w:ascii="Courier New" w:eastAsia="Times New Roman" w:hAnsi="Courier New" w:cs="Courier New"/>
    </w:rPr>
  </w:style>
  <w:style w:type="paragraph" w:styleId="ListParagraph">
    <w:name w:val="List Paragraph"/>
    <w:basedOn w:val="Normal"/>
    <w:uiPriority w:val="34"/>
    <w:qFormat/>
    <w:rsid w:val="00DC5EA8"/>
    <w:pPr>
      <w:ind w:left="720"/>
      <w:contextualSpacing/>
    </w:pPr>
  </w:style>
  <w:style w:type="character" w:styleId="Hyperlink">
    <w:name w:val="Hyperlink"/>
    <w:basedOn w:val="DefaultParagraphFont"/>
    <w:uiPriority w:val="99"/>
    <w:unhideWhenUsed/>
    <w:rsid w:val="005D1400"/>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1772"/>
    <w:rPr>
      <w:rFonts w:ascii="Times New Roman" w:eastAsia="Times New Roman" w:hAnsi="Times New Roman"/>
      <w:sz w:val="24"/>
      <w:szCs w:val="24"/>
    </w:rPr>
  </w:style>
  <w:style w:type="paragraph" w:styleId="Heading2">
    <w:name w:val="heading 2"/>
    <w:basedOn w:val="Normal"/>
    <w:next w:val="Normal"/>
    <w:link w:val="Heading2Char"/>
    <w:qFormat/>
    <w:rsid w:val="00681772"/>
    <w:pPr>
      <w:keepNext/>
      <w:widowControl w:val="0"/>
      <w:tabs>
        <w:tab w:val="left" w:pos="990"/>
        <w:tab w:val="left" w:pos="1710"/>
        <w:tab w:val="left" w:pos="2430"/>
        <w:tab w:val="left" w:pos="3150"/>
        <w:tab w:val="left" w:pos="3870"/>
        <w:tab w:val="left" w:pos="4590"/>
        <w:tab w:val="left" w:pos="5310"/>
        <w:tab w:val="left" w:pos="6030"/>
        <w:tab w:val="left" w:pos="6750"/>
        <w:tab w:val="left" w:pos="7470"/>
        <w:tab w:val="left" w:pos="8190"/>
        <w:tab w:val="left" w:pos="9630"/>
      </w:tabs>
      <w:jc w:val="both"/>
      <w:outlineLvl w:val="1"/>
    </w:pPr>
    <w:rPr>
      <w:rFonts w:ascii="Arial" w:hAnsi="Arial"/>
      <w:b/>
      <w:snapToGrid w:val="0"/>
      <w:szCs w:val="20"/>
    </w:rPr>
  </w:style>
  <w:style w:type="paragraph" w:styleId="Heading3">
    <w:name w:val="heading 3"/>
    <w:basedOn w:val="Normal"/>
    <w:next w:val="Normal"/>
    <w:link w:val="Heading3Char"/>
    <w:qFormat/>
    <w:rsid w:val="00681772"/>
    <w:pPr>
      <w:keepNext/>
      <w:widowControl w:val="0"/>
      <w:tabs>
        <w:tab w:val="left" w:pos="990"/>
        <w:tab w:val="left" w:pos="1710"/>
        <w:tab w:val="left" w:pos="2430"/>
        <w:tab w:val="left" w:pos="3150"/>
        <w:tab w:val="left" w:pos="3870"/>
        <w:tab w:val="left" w:pos="4590"/>
        <w:tab w:val="left" w:pos="5310"/>
        <w:tab w:val="left" w:pos="6030"/>
        <w:tab w:val="left" w:pos="6750"/>
        <w:tab w:val="left" w:pos="7470"/>
        <w:tab w:val="left" w:pos="8190"/>
      </w:tabs>
      <w:outlineLvl w:val="2"/>
    </w:pPr>
    <w:rPr>
      <w:rFonts w:ascii="Arial" w:hAnsi="Arial"/>
      <w:b/>
      <w:snapToGrid w:val="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681772"/>
    <w:rPr>
      <w:rFonts w:ascii="Arial" w:eastAsia="Times New Roman" w:hAnsi="Arial" w:cs="Times New Roman"/>
      <w:b/>
      <w:snapToGrid w:val="0"/>
      <w:sz w:val="24"/>
      <w:szCs w:val="20"/>
    </w:rPr>
  </w:style>
  <w:style w:type="character" w:customStyle="1" w:styleId="Heading3Char">
    <w:name w:val="Heading 3 Char"/>
    <w:link w:val="Heading3"/>
    <w:rsid w:val="00681772"/>
    <w:rPr>
      <w:rFonts w:ascii="Arial" w:eastAsia="Times New Roman" w:hAnsi="Arial" w:cs="Times New Roman"/>
      <w:b/>
      <w:snapToGrid w:val="0"/>
      <w:sz w:val="24"/>
      <w:szCs w:val="20"/>
    </w:rPr>
  </w:style>
  <w:style w:type="paragraph" w:styleId="BodyText2">
    <w:name w:val="Body Text 2"/>
    <w:basedOn w:val="Normal"/>
    <w:link w:val="BodyText2Char"/>
    <w:rsid w:val="00681772"/>
    <w:pPr>
      <w:widowControl w:val="0"/>
      <w:tabs>
        <w:tab w:val="left" w:pos="990"/>
        <w:tab w:val="left" w:pos="1710"/>
        <w:tab w:val="left" w:pos="2430"/>
        <w:tab w:val="left" w:pos="3150"/>
        <w:tab w:val="left" w:pos="3870"/>
        <w:tab w:val="left" w:pos="4590"/>
        <w:tab w:val="left" w:pos="5310"/>
        <w:tab w:val="left" w:pos="6030"/>
        <w:tab w:val="left" w:pos="6750"/>
        <w:tab w:val="left" w:pos="7470"/>
        <w:tab w:val="left" w:pos="8190"/>
      </w:tabs>
    </w:pPr>
    <w:rPr>
      <w:rFonts w:ascii="Arial" w:hAnsi="Arial"/>
      <w:b/>
      <w:i/>
      <w:snapToGrid w:val="0"/>
      <w:szCs w:val="20"/>
      <w:u w:val="single"/>
    </w:rPr>
  </w:style>
  <w:style w:type="character" w:customStyle="1" w:styleId="BodyText2Char">
    <w:name w:val="Body Text 2 Char"/>
    <w:link w:val="BodyText2"/>
    <w:rsid w:val="00681772"/>
    <w:rPr>
      <w:rFonts w:ascii="Arial" w:eastAsia="Times New Roman" w:hAnsi="Arial" w:cs="Times New Roman"/>
      <w:b/>
      <w:i/>
      <w:snapToGrid w:val="0"/>
      <w:sz w:val="24"/>
      <w:szCs w:val="20"/>
      <w:u w:val="single"/>
    </w:rPr>
  </w:style>
  <w:style w:type="paragraph" w:styleId="BalloonText">
    <w:name w:val="Balloon Text"/>
    <w:basedOn w:val="Normal"/>
    <w:link w:val="BalloonTextChar"/>
    <w:uiPriority w:val="99"/>
    <w:semiHidden/>
    <w:unhideWhenUsed/>
    <w:rsid w:val="00681772"/>
    <w:rPr>
      <w:rFonts w:ascii="Tahoma" w:hAnsi="Tahoma"/>
      <w:sz w:val="16"/>
      <w:szCs w:val="16"/>
    </w:rPr>
  </w:style>
  <w:style w:type="character" w:customStyle="1" w:styleId="BalloonTextChar">
    <w:name w:val="Balloon Text Char"/>
    <w:link w:val="BalloonText"/>
    <w:uiPriority w:val="99"/>
    <w:semiHidden/>
    <w:rsid w:val="00681772"/>
    <w:rPr>
      <w:rFonts w:ascii="Tahoma" w:eastAsia="Times New Roman" w:hAnsi="Tahoma" w:cs="Tahoma"/>
      <w:sz w:val="16"/>
      <w:szCs w:val="16"/>
    </w:rPr>
  </w:style>
  <w:style w:type="paragraph" w:styleId="Header">
    <w:name w:val="header"/>
    <w:basedOn w:val="Normal"/>
    <w:link w:val="HeaderChar"/>
    <w:uiPriority w:val="99"/>
    <w:unhideWhenUsed/>
    <w:rsid w:val="005B1A95"/>
    <w:pPr>
      <w:tabs>
        <w:tab w:val="center" w:pos="4680"/>
        <w:tab w:val="right" w:pos="9360"/>
      </w:tabs>
    </w:pPr>
  </w:style>
  <w:style w:type="character" w:customStyle="1" w:styleId="HeaderChar">
    <w:name w:val="Header Char"/>
    <w:link w:val="Header"/>
    <w:uiPriority w:val="99"/>
    <w:rsid w:val="005B1A95"/>
    <w:rPr>
      <w:rFonts w:ascii="Times New Roman" w:eastAsia="Times New Roman" w:hAnsi="Times New Roman"/>
      <w:sz w:val="24"/>
      <w:szCs w:val="24"/>
    </w:rPr>
  </w:style>
  <w:style w:type="paragraph" w:styleId="Footer">
    <w:name w:val="footer"/>
    <w:basedOn w:val="Normal"/>
    <w:link w:val="FooterChar"/>
    <w:uiPriority w:val="99"/>
    <w:unhideWhenUsed/>
    <w:rsid w:val="005B1A95"/>
    <w:pPr>
      <w:tabs>
        <w:tab w:val="center" w:pos="4680"/>
        <w:tab w:val="right" w:pos="9360"/>
      </w:tabs>
    </w:pPr>
  </w:style>
  <w:style w:type="character" w:customStyle="1" w:styleId="FooterChar">
    <w:name w:val="Footer Char"/>
    <w:link w:val="Footer"/>
    <w:uiPriority w:val="99"/>
    <w:rsid w:val="005B1A95"/>
    <w:rPr>
      <w:rFonts w:ascii="Times New Roman" w:eastAsia="Times New Roman" w:hAnsi="Times New Roman"/>
      <w:sz w:val="24"/>
      <w:szCs w:val="24"/>
    </w:rPr>
  </w:style>
  <w:style w:type="character" w:styleId="Strong">
    <w:name w:val="Strong"/>
    <w:basedOn w:val="DefaultParagraphFont"/>
    <w:uiPriority w:val="22"/>
    <w:qFormat/>
    <w:rsid w:val="001D32E6"/>
    <w:rPr>
      <w:b/>
      <w:bCs/>
    </w:rPr>
  </w:style>
  <w:style w:type="paragraph" w:styleId="NormalWeb">
    <w:name w:val="Normal (Web)"/>
    <w:basedOn w:val="Normal"/>
    <w:uiPriority w:val="99"/>
    <w:unhideWhenUsed/>
    <w:rsid w:val="001D32E6"/>
    <w:pPr>
      <w:spacing w:before="100" w:beforeAutospacing="1" w:after="100" w:afterAutospacing="1"/>
    </w:pPr>
  </w:style>
  <w:style w:type="paragraph" w:styleId="HTMLPreformatted">
    <w:name w:val="HTML Preformatted"/>
    <w:basedOn w:val="Normal"/>
    <w:link w:val="HTMLPreformattedChar"/>
    <w:uiPriority w:val="99"/>
    <w:semiHidden/>
    <w:unhideWhenUsed/>
    <w:rsid w:val="00F329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F32987"/>
    <w:rPr>
      <w:rFonts w:ascii="Courier New" w:eastAsia="Times New Roman" w:hAnsi="Courier New" w:cs="Courier New"/>
    </w:rPr>
  </w:style>
</w:styles>
</file>

<file path=word/webSettings.xml><?xml version="1.0" encoding="utf-8"?>
<w:webSettings xmlns:r="http://schemas.openxmlformats.org/officeDocument/2006/relationships" xmlns:w="http://schemas.openxmlformats.org/wordprocessingml/2006/main">
  <w:divs>
    <w:div w:id="14382743">
      <w:bodyDiv w:val="1"/>
      <w:marLeft w:val="0"/>
      <w:marRight w:val="0"/>
      <w:marTop w:val="0"/>
      <w:marBottom w:val="0"/>
      <w:divBdr>
        <w:top w:val="none" w:sz="0" w:space="0" w:color="auto"/>
        <w:left w:val="none" w:sz="0" w:space="0" w:color="auto"/>
        <w:bottom w:val="none" w:sz="0" w:space="0" w:color="auto"/>
        <w:right w:val="none" w:sz="0" w:space="0" w:color="auto"/>
      </w:divBdr>
    </w:div>
    <w:div w:id="169416875">
      <w:bodyDiv w:val="1"/>
      <w:marLeft w:val="0"/>
      <w:marRight w:val="0"/>
      <w:marTop w:val="0"/>
      <w:marBottom w:val="0"/>
      <w:divBdr>
        <w:top w:val="none" w:sz="0" w:space="0" w:color="auto"/>
        <w:left w:val="none" w:sz="0" w:space="0" w:color="auto"/>
        <w:bottom w:val="none" w:sz="0" w:space="0" w:color="auto"/>
        <w:right w:val="none" w:sz="0" w:space="0" w:color="auto"/>
      </w:divBdr>
      <w:divsChild>
        <w:div w:id="659193766">
          <w:marLeft w:val="0"/>
          <w:marRight w:val="0"/>
          <w:marTop w:val="0"/>
          <w:marBottom w:val="0"/>
          <w:divBdr>
            <w:top w:val="none" w:sz="0" w:space="0" w:color="auto"/>
            <w:left w:val="none" w:sz="0" w:space="0" w:color="auto"/>
            <w:bottom w:val="none" w:sz="0" w:space="0" w:color="auto"/>
            <w:right w:val="none" w:sz="0" w:space="0" w:color="auto"/>
          </w:divBdr>
        </w:div>
        <w:div w:id="814490277">
          <w:marLeft w:val="0"/>
          <w:marRight w:val="0"/>
          <w:marTop w:val="0"/>
          <w:marBottom w:val="0"/>
          <w:divBdr>
            <w:top w:val="none" w:sz="0" w:space="0" w:color="auto"/>
            <w:left w:val="none" w:sz="0" w:space="0" w:color="auto"/>
            <w:bottom w:val="none" w:sz="0" w:space="0" w:color="auto"/>
            <w:right w:val="none" w:sz="0" w:space="0" w:color="auto"/>
          </w:divBdr>
        </w:div>
        <w:div w:id="376664919">
          <w:marLeft w:val="0"/>
          <w:marRight w:val="0"/>
          <w:marTop w:val="0"/>
          <w:marBottom w:val="0"/>
          <w:divBdr>
            <w:top w:val="none" w:sz="0" w:space="0" w:color="auto"/>
            <w:left w:val="none" w:sz="0" w:space="0" w:color="auto"/>
            <w:bottom w:val="none" w:sz="0" w:space="0" w:color="auto"/>
            <w:right w:val="none" w:sz="0" w:space="0" w:color="auto"/>
          </w:divBdr>
        </w:div>
      </w:divsChild>
    </w:div>
    <w:div w:id="288052208">
      <w:bodyDiv w:val="1"/>
      <w:marLeft w:val="0"/>
      <w:marRight w:val="0"/>
      <w:marTop w:val="0"/>
      <w:marBottom w:val="0"/>
      <w:divBdr>
        <w:top w:val="none" w:sz="0" w:space="0" w:color="auto"/>
        <w:left w:val="none" w:sz="0" w:space="0" w:color="auto"/>
        <w:bottom w:val="none" w:sz="0" w:space="0" w:color="auto"/>
        <w:right w:val="none" w:sz="0" w:space="0" w:color="auto"/>
      </w:divBdr>
    </w:div>
    <w:div w:id="303583958">
      <w:bodyDiv w:val="1"/>
      <w:marLeft w:val="0"/>
      <w:marRight w:val="0"/>
      <w:marTop w:val="0"/>
      <w:marBottom w:val="0"/>
      <w:divBdr>
        <w:top w:val="none" w:sz="0" w:space="0" w:color="auto"/>
        <w:left w:val="none" w:sz="0" w:space="0" w:color="auto"/>
        <w:bottom w:val="none" w:sz="0" w:space="0" w:color="auto"/>
        <w:right w:val="none" w:sz="0" w:space="0" w:color="auto"/>
      </w:divBdr>
      <w:divsChild>
        <w:div w:id="1275675757">
          <w:marLeft w:val="0"/>
          <w:marRight w:val="0"/>
          <w:marTop w:val="0"/>
          <w:marBottom w:val="0"/>
          <w:divBdr>
            <w:top w:val="none" w:sz="0" w:space="0" w:color="auto"/>
            <w:left w:val="none" w:sz="0" w:space="0" w:color="auto"/>
            <w:bottom w:val="none" w:sz="0" w:space="0" w:color="auto"/>
            <w:right w:val="none" w:sz="0" w:space="0" w:color="auto"/>
          </w:divBdr>
        </w:div>
        <w:div w:id="437456316">
          <w:marLeft w:val="0"/>
          <w:marRight w:val="0"/>
          <w:marTop w:val="0"/>
          <w:marBottom w:val="0"/>
          <w:divBdr>
            <w:top w:val="none" w:sz="0" w:space="0" w:color="auto"/>
            <w:left w:val="none" w:sz="0" w:space="0" w:color="auto"/>
            <w:bottom w:val="none" w:sz="0" w:space="0" w:color="auto"/>
            <w:right w:val="none" w:sz="0" w:space="0" w:color="auto"/>
          </w:divBdr>
        </w:div>
        <w:div w:id="1971397461">
          <w:marLeft w:val="0"/>
          <w:marRight w:val="0"/>
          <w:marTop w:val="0"/>
          <w:marBottom w:val="0"/>
          <w:divBdr>
            <w:top w:val="none" w:sz="0" w:space="0" w:color="auto"/>
            <w:left w:val="none" w:sz="0" w:space="0" w:color="auto"/>
            <w:bottom w:val="none" w:sz="0" w:space="0" w:color="auto"/>
            <w:right w:val="none" w:sz="0" w:space="0" w:color="auto"/>
          </w:divBdr>
        </w:div>
      </w:divsChild>
    </w:div>
    <w:div w:id="351415074">
      <w:bodyDiv w:val="1"/>
      <w:marLeft w:val="0"/>
      <w:marRight w:val="0"/>
      <w:marTop w:val="0"/>
      <w:marBottom w:val="0"/>
      <w:divBdr>
        <w:top w:val="none" w:sz="0" w:space="0" w:color="auto"/>
        <w:left w:val="none" w:sz="0" w:space="0" w:color="auto"/>
        <w:bottom w:val="none" w:sz="0" w:space="0" w:color="auto"/>
        <w:right w:val="none" w:sz="0" w:space="0" w:color="auto"/>
      </w:divBdr>
      <w:divsChild>
        <w:div w:id="260770041">
          <w:marLeft w:val="0"/>
          <w:marRight w:val="0"/>
          <w:marTop w:val="0"/>
          <w:marBottom w:val="0"/>
          <w:divBdr>
            <w:top w:val="none" w:sz="0" w:space="0" w:color="auto"/>
            <w:left w:val="none" w:sz="0" w:space="0" w:color="auto"/>
            <w:bottom w:val="none" w:sz="0" w:space="0" w:color="auto"/>
            <w:right w:val="none" w:sz="0" w:space="0" w:color="auto"/>
          </w:divBdr>
          <w:divsChild>
            <w:div w:id="61802513">
              <w:marLeft w:val="0"/>
              <w:marRight w:val="0"/>
              <w:marTop w:val="0"/>
              <w:marBottom w:val="0"/>
              <w:divBdr>
                <w:top w:val="none" w:sz="0" w:space="0" w:color="auto"/>
                <w:left w:val="none" w:sz="0" w:space="0" w:color="auto"/>
                <w:bottom w:val="none" w:sz="0" w:space="0" w:color="auto"/>
                <w:right w:val="none" w:sz="0" w:space="0" w:color="auto"/>
              </w:divBdr>
            </w:div>
          </w:divsChild>
        </w:div>
        <w:div w:id="1416900458">
          <w:marLeft w:val="0"/>
          <w:marRight w:val="0"/>
          <w:marTop w:val="0"/>
          <w:marBottom w:val="0"/>
          <w:divBdr>
            <w:top w:val="none" w:sz="0" w:space="0" w:color="auto"/>
            <w:left w:val="none" w:sz="0" w:space="0" w:color="auto"/>
            <w:bottom w:val="none" w:sz="0" w:space="0" w:color="auto"/>
            <w:right w:val="none" w:sz="0" w:space="0" w:color="auto"/>
          </w:divBdr>
          <w:divsChild>
            <w:div w:id="1129739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461197">
      <w:bodyDiv w:val="1"/>
      <w:marLeft w:val="0"/>
      <w:marRight w:val="0"/>
      <w:marTop w:val="0"/>
      <w:marBottom w:val="0"/>
      <w:divBdr>
        <w:top w:val="none" w:sz="0" w:space="0" w:color="auto"/>
        <w:left w:val="none" w:sz="0" w:space="0" w:color="auto"/>
        <w:bottom w:val="none" w:sz="0" w:space="0" w:color="auto"/>
        <w:right w:val="none" w:sz="0" w:space="0" w:color="auto"/>
      </w:divBdr>
    </w:div>
    <w:div w:id="446199093">
      <w:bodyDiv w:val="1"/>
      <w:marLeft w:val="0"/>
      <w:marRight w:val="0"/>
      <w:marTop w:val="0"/>
      <w:marBottom w:val="0"/>
      <w:divBdr>
        <w:top w:val="none" w:sz="0" w:space="0" w:color="auto"/>
        <w:left w:val="none" w:sz="0" w:space="0" w:color="auto"/>
        <w:bottom w:val="none" w:sz="0" w:space="0" w:color="auto"/>
        <w:right w:val="none" w:sz="0" w:space="0" w:color="auto"/>
      </w:divBdr>
    </w:div>
    <w:div w:id="505634314">
      <w:bodyDiv w:val="1"/>
      <w:marLeft w:val="0"/>
      <w:marRight w:val="0"/>
      <w:marTop w:val="0"/>
      <w:marBottom w:val="0"/>
      <w:divBdr>
        <w:top w:val="none" w:sz="0" w:space="0" w:color="auto"/>
        <w:left w:val="none" w:sz="0" w:space="0" w:color="auto"/>
        <w:bottom w:val="none" w:sz="0" w:space="0" w:color="auto"/>
        <w:right w:val="none" w:sz="0" w:space="0" w:color="auto"/>
      </w:divBdr>
      <w:divsChild>
        <w:div w:id="304895066">
          <w:marLeft w:val="0"/>
          <w:marRight w:val="0"/>
          <w:marTop w:val="0"/>
          <w:marBottom w:val="0"/>
          <w:divBdr>
            <w:top w:val="none" w:sz="0" w:space="0" w:color="auto"/>
            <w:left w:val="none" w:sz="0" w:space="0" w:color="auto"/>
            <w:bottom w:val="none" w:sz="0" w:space="0" w:color="auto"/>
            <w:right w:val="none" w:sz="0" w:space="0" w:color="auto"/>
          </w:divBdr>
          <w:divsChild>
            <w:div w:id="332416496">
              <w:marLeft w:val="0"/>
              <w:marRight w:val="0"/>
              <w:marTop w:val="0"/>
              <w:marBottom w:val="0"/>
              <w:divBdr>
                <w:top w:val="none" w:sz="0" w:space="0" w:color="auto"/>
                <w:left w:val="none" w:sz="0" w:space="0" w:color="auto"/>
                <w:bottom w:val="none" w:sz="0" w:space="0" w:color="auto"/>
                <w:right w:val="none" w:sz="0" w:space="0" w:color="auto"/>
              </w:divBdr>
              <w:divsChild>
                <w:div w:id="1280801611">
                  <w:marLeft w:val="0"/>
                  <w:marRight w:val="0"/>
                  <w:marTop w:val="0"/>
                  <w:marBottom w:val="0"/>
                  <w:divBdr>
                    <w:top w:val="none" w:sz="0" w:space="0" w:color="auto"/>
                    <w:left w:val="none" w:sz="0" w:space="0" w:color="auto"/>
                    <w:bottom w:val="none" w:sz="0" w:space="0" w:color="auto"/>
                    <w:right w:val="none" w:sz="0" w:space="0" w:color="auto"/>
                  </w:divBdr>
                  <w:divsChild>
                    <w:div w:id="106125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9337923">
      <w:bodyDiv w:val="1"/>
      <w:marLeft w:val="0"/>
      <w:marRight w:val="0"/>
      <w:marTop w:val="0"/>
      <w:marBottom w:val="0"/>
      <w:divBdr>
        <w:top w:val="none" w:sz="0" w:space="0" w:color="auto"/>
        <w:left w:val="none" w:sz="0" w:space="0" w:color="auto"/>
        <w:bottom w:val="none" w:sz="0" w:space="0" w:color="auto"/>
        <w:right w:val="none" w:sz="0" w:space="0" w:color="auto"/>
      </w:divBdr>
      <w:divsChild>
        <w:div w:id="1116296687">
          <w:marLeft w:val="0"/>
          <w:marRight w:val="0"/>
          <w:marTop w:val="0"/>
          <w:marBottom w:val="0"/>
          <w:divBdr>
            <w:top w:val="none" w:sz="0" w:space="0" w:color="auto"/>
            <w:left w:val="none" w:sz="0" w:space="0" w:color="auto"/>
            <w:bottom w:val="none" w:sz="0" w:space="0" w:color="auto"/>
            <w:right w:val="none" w:sz="0" w:space="0" w:color="auto"/>
          </w:divBdr>
        </w:div>
        <w:div w:id="1630823175">
          <w:marLeft w:val="0"/>
          <w:marRight w:val="0"/>
          <w:marTop w:val="0"/>
          <w:marBottom w:val="0"/>
          <w:divBdr>
            <w:top w:val="none" w:sz="0" w:space="0" w:color="auto"/>
            <w:left w:val="none" w:sz="0" w:space="0" w:color="auto"/>
            <w:bottom w:val="none" w:sz="0" w:space="0" w:color="auto"/>
            <w:right w:val="none" w:sz="0" w:space="0" w:color="auto"/>
          </w:divBdr>
        </w:div>
      </w:divsChild>
    </w:div>
    <w:div w:id="623728647">
      <w:bodyDiv w:val="1"/>
      <w:marLeft w:val="0"/>
      <w:marRight w:val="0"/>
      <w:marTop w:val="0"/>
      <w:marBottom w:val="0"/>
      <w:divBdr>
        <w:top w:val="none" w:sz="0" w:space="0" w:color="auto"/>
        <w:left w:val="none" w:sz="0" w:space="0" w:color="auto"/>
        <w:bottom w:val="none" w:sz="0" w:space="0" w:color="auto"/>
        <w:right w:val="none" w:sz="0" w:space="0" w:color="auto"/>
      </w:divBdr>
      <w:divsChild>
        <w:div w:id="19204541">
          <w:marLeft w:val="0"/>
          <w:marRight w:val="0"/>
          <w:marTop w:val="0"/>
          <w:marBottom w:val="0"/>
          <w:divBdr>
            <w:top w:val="none" w:sz="0" w:space="0" w:color="auto"/>
            <w:left w:val="none" w:sz="0" w:space="0" w:color="auto"/>
            <w:bottom w:val="none" w:sz="0" w:space="0" w:color="auto"/>
            <w:right w:val="none" w:sz="0" w:space="0" w:color="auto"/>
          </w:divBdr>
        </w:div>
      </w:divsChild>
    </w:div>
    <w:div w:id="847403237">
      <w:bodyDiv w:val="1"/>
      <w:marLeft w:val="0"/>
      <w:marRight w:val="0"/>
      <w:marTop w:val="0"/>
      <w:marBottom w:val="0"/>
      <w:divBdr>
        <w:top w:val="none" w:sz="0" w:space="0" w:color="auto"/>
        <w:left w:val="none" w:sz="0" w:space="0" w:color="auto"/>
        <w:bottom w:val="none" w:sz="0" w:space="0" w:color="auto"/>
        <w:right w:val="none" w:sz="0" w:space="0" w:color="auto"/>
      </w:divBdr>
    </w:div>
    <w:div w:id="937253836">
      <w:bodyDiv w:val="1"/>
      <w:marLeft w:val="0"/>
      <w:marRight w:val="0"/>
      <w:marTop w:val="0"/>
      <w:marBottom w:val="0"/>
      <w:divBdr>
        <w:top w:val="none" w:sz="0" w:space="0" w:color="auto"/>
        <w:left w:val="none" w:sz="0" w:space="0" w:color="auto"/>
        <w:bottom w:val="none" w:sz="0" w:space="0" w:color="auto"/>
        <w:right w:val="none" w:sz="0" w:space="0" w:color="auto"/>
      </w:divBdr>
    </w:div>
    <w:div w:id="1127317323">
      <w:bodyDiv w:val="1"/>
      <w:marLeft w:val="0"/>
      <w:marRight w:val="0"/>
      <w:marTop w:val="0"/>
      <w:marBottom w:val="0"/>
      <w:divBdr>
        <w:top w:val="none" w:sz="0" w:space="0" w:color="auto"/>
        <w:left w:val="none" w:sz="0" w:space="0" w:color="auto"/>
        <w:bottom w:val="none" w:sz="0" w:space="0" w:color="auto"/>
        <w:right w:val="none" w:sz="0" w:space="0" w:color="auto"/>
      </w:divBdr>
    </w:div>
    <w:div w:id="1135023187">
      <w:bodyDiv w:val="1"/>
      <w:marLeft w:val="0"/>
      <w:marRight w:val="0"/>
      <w:marTop w:val="0"/>
      <w:marBottom w:val="0"/>
      <w:divBdr>
        <w:top w:val="none" w:sz="0" w:space="0" w:color="auto"/>
        <w:left w:val="none" w:sz="0" w:space="0" w:color="auto"/>
        <w:bottom w:val="none" w:sz="0" w:space="0" w:color="auto"/>
        <w:right w:val="none" w:sz="0" w:space="0" w:color="auto"/>
      </w:divBdr>
    </w:div>
    <w:div w:id="1160460592">
      <w:bodyDiv w:val="1"/>
      <w:marLeft w:val="0"/>
      <w:marRight w:val="0"/>
      <w:marTop w:val="0"/>
      <w:marBottom w:val="0"/>
      <w:divBdr>
        <w:top w:val="none" w:sz="0" w:space="0" w:color="auto"/>
        <w:left w:val="none" w:sz="0" w:space="0" w:color="auto"/>
        <w:bottom w:val="none" w:sz="0" w:space="0" w:color="auto"/>
        <w:right w:val="none" w:sz="0" w:space="0" w:color="auto"/>
      </w:divBdr>
    </w:div>
    <w:div w:id="1311906343">
      <w:bodyDiv w:val="1"/>
      <w:marLeft w:val="0"/>
      <w:marRight w:val="0"/>
      <w:marTop w:val="0"/>
      <w:marBottom w:val="0"/>
      <w:divBdr>
        <w:top w:val="none" w:sz="0" w:space="0" w:color="auto"/>
        <w:left w:val="none" w:sz="0" w:space="0" w:color="auto"/>
        <w:bottom w:val="none" w:sz="0" w:space="0" w:color="auto"/>
        <w:right w:val="none" w:sz="0" w:space="0" w:color="auto"/>
      </w:divBdr>
    </w:div>
    <w:div w:id="1502045517">
      <w:bodyDiv w:val="1"/>
      <w:marLeft w:val="0"/>
      <w:marRight w:val="0"/>
      <w:marTop w:val="0"/>
      <w:marBottom w:val="0"/>
      <w:divBdr>
        <w:top w:val="none" w:sz="0" w:space="0" w:color="auto"/>
        <w:left w:val="none" w:sz="0" w:space="0" w:color="auto"/>
        <w:bottom w:val="none" w:sz="0" w:space="0" w:color="auto"/>
        <w:right w:val="none" w:sz="0" w:space="0" w:color="auto"/>
      </w:divBdr>
      <w:divsChild>
        <w:div w:id="575094989">
          <w:marLeft w:val="0"/>
          <w:marRight w:val="0"/>
          <w:marTop w:val="0"/>
          <w:marBottom w:val="0"/>
          <w:divBdr>
            <w:top w:val="none" w:sz="0" w:space="0" w:color="auto"/>
            <w:left w:val="none" w:sz="0" w:space="0" w:color="auto"/>
            <w:bottom w:val="none" w:sz="0" w:space="0" w:color="auto"/>
            <w:right w:val="none" w:sz="0" w:space="0" w:color="auto"/>
          </w:divBdr>
        </w:div>
        <w:div w:id="444078758">
          <w:marLeft w:val="0"/>
          <w:marRight w:val="0"/>
          <w:marTop w:val="0"/>
          <w:marBottom w:val="0"/>
          <w:divBdr>
            <w:top w:val="none" w:sz="0" w:space="0" w:color="auto"/>
            <w:left w:val="none" w:sz="0" w:space="0" w:color="auto"/>
            <w:bottom w:val="none" w:sz="0" w:space="0" w:color="auto"/>
            <w:right w:val="none" w:sz="0" w:space="0" w:color="auto"/>
          </w:divBdr>
        </w:div>
      </w:divsChild>
    </w:div>
    <w:div w:id="1537498074">
      <w:bodyDiv w:val="1"/>
      <w:marLeft w:val="0"/>
      <w:marRight w:val="0"/>
      <w:marTop w:val="0"/>
      <w:marBottom w:val="0"/>
      <w:divBdr>
        <w:top w:val="none" w:sz="0" w:space="0" w:color="auto"/>
        <w:left w:val="none" w:sz="0" w:space="0" w:color="auto"/>
        <w:bottom w:val="none" w:sz="0" w:space="0" w:color="auto"/>
        <w:right w:val="none" w:sz="0" w:space="0" w:color="auto"/>
      </w:divBdr>
    </w:div>
    <w:div w:id="1545825076">
      <w:bodyDiv w:val="1"/>
      <w:marLeft w:val="0"/>
      <w:marRight w:val="0"/>
      <w:marTop w:val="0"/>
      <w:marBottom w:val="0"/>
      <w:divBdr>
        <w:top w:val="none" w:sz="0" w:space="0" w:color="auto"/>
        <w:left w:val="none" w:sz="0" w:space="0" w:color="auto"/>
        <w:bottom w:val="none" w:sz="0" w:space="0" w:color="auto"/>
        <w:right w:val="none" w:sz="0" w:space="0" w:color="auto"/>
      </w:divBdr>
      <w:divsChild>
        <w:div w:id="1347900631">
          <w:marLeft w:val="0"/>
          <w:marRight w:val="0"/>
          <w:marTop w:val="0"/>
          <w:marBottom w:val="0"/>
          <w:divBdr>
            <w:top w:val="none" w:sz="0" w:space="0" w:color="auto"/>
            <w:left w:val="none" w:sz="0" w:space="0" w:color="auto"/>
            <w:bottom w:val="none" w:sz="0" w:space="0" w:color="auto"/>
            <w:right w:val="none" w:sz="0" w:space="0" w:color="auto"/>
          </w:divBdr>
          <w:divsChild>
            <w:div w:id="17508977">
              <w:marLeft w:val="0"/>
              <w:marRight w:val="0"/>
              <w:marTop w:val="0"/>
              <w:marBottom w:val="0"/>
              <w:divBdr>
                <w:top w:val="none" w:sz="0" w:space="0" w:color="auto"/>
                <w:left w:val="none" w:sz="0" w:space="0" w:color="auto"/>
                <w:bottom w:val="none" w:sz="0" w:space="0" w:color="auto"/>
                <w:right w:val="none" w:sz="0" w:space="0" w:color="auto"/>
              </w:divBdr>
              <w:divsChild>
                <w:div w:id="647633622">
                  <w:marLeft w:val="0"/>
                  <w:marRight w:val="0"/>
                  <w:marTop w:val="0"/>
                  <w:marBottom w:val="0"/>
                  <w:divBdr>
                    <w:top w:val="none" w:sz="0" w:space="0" w:color="auto"/>
                    <w:left w:val="none" w:sz="0" w:space="0" w:color="auto"/>
                    <w:bottom w:val="none" w:sz="0" w:space="0" w:color="auto"/>
                    <w:right w:val="none" w:sz="0" w:space="0" w:color="auto"/>
                  </w:divBdr>
                  <w:divsChild>
                    <w:div w:id="88128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2503827">
      <w:bodyDiv w:val="1"/>
      <w:marLeft w:val="0"/>
      <w:marRight w:val="0"/>
      <w:marTop w:val="0"/>
      <w:marBottom w:val="0"/>
      <w:divBdr>
        <w:top w:val="none" w:sz="0" w:space="0" w:color="auto"/>
        <w:left w:val="none" w:sz="0" w:space="0" w:color="auto"/>
        <w:bottom w:val="none" w:sz="0" w:space="0" w:color="auto"/>
        <w:right w:val="none" w:sz="0" w:space="0" w:color="auto"/>
      </w:divBdr>
      <w:divsChild>
        <w:div w:id="1697776839">
          <w:marLeft w:val="0"/>
          <w:marRight w:val="0"/>
          <w:marTop w:val="0"/>
          <w:marBottom w:val="0"/>
          <w:divBdr>
            <w:top w:val="none" w:sz="0" w:space="0" w:color="auto"/>
            <w:left w:val="none" w:sz="0" w:space="0" w:color="auto"/>
            <w:bottom w:val="none" w:sz="0" w:space="0" w:color="auto"/>
            <w:right w:val="none" w:sz="0" w:space="0" w:color="auto"/>
          </w:divBdr>
        </w:div>
        <w:div w:id="154104625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2.jpeg"/><Relationship Id="rId19" Type="http://schemas.microsoft.com/office/2007/relationships/stylesWithEffects" Target="stylesWithEffects.xml"/><Relationship Id="rId4" Type="http://schemas.openxmlformats.org/officeDocument/2006/relationships/settings" Target="settings.xml"/><Relationship Id="rId9" Type="http://schemas.openxmlformats.org/officeDocument/2006/relationships/hyperlink" Target="mailto:2.@%25"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C36B440-76AC-40A3-A684-231F897223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5</Pages>
  <Words>1268</Words>
  <Characters>7230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Bradley University</Company>
  <LinksUpToDate>false</LinksUpToDate>
  <CharactersWithSpaces>8482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Bernie Goitein</cp:lastModifiedBy>
  <cp:revision>10</cp:revision>
  <cp:lastPrinted>2014-08-29T17:16:00Z</cp:lastPrinted>
  <dcterms:created xsi:type="dcterms:W3CDTF">2014-09-01T14:20:00Z</dcterms:created>
  <dcterms:modified xsi:type="dcterms:W3CDTF">2014-09-01T15:04:00Z</dcterms:modified>
</cp:coreProperties>
</file>