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90E" w:rsidRDefault="00D3190E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388235" cy="457200"/>
            <wp:effectExtent l="19050" t="19050" r="12065" b="19050"/>
            <wp:wrapSquare wrapText="bothSides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510EB">
        <w:rPr>
          <w:rFonts w:ascii="Optima" w:hAnsi="Optima" w:cs="Times New Roman"/>
          <w:sz w:val="20"/>
          <w:szCs w:val="20"/>
        </w:rPr>
        <w:t>The EurValve P</w:t>
      </w:r>
      <w:r>
        <w:rPr>
          <w:rFonts w:ascii="Optima" w:hAnsi="Optima" w:cs="Times New Roman"/>
          <w:sz w:val="20"/>
          <w:szCs w:val="20"/>
        </w:rPr>
        <w:t xml:space="preserve">ortal, </w:t>
      </w:r>
      <w:r w:rsidR="006F0907">
        <w:rPr>
          <w:rFonts w:ascii="Optima" w:hAnsi="Optima" w:cs="Times New Roman"/>
          <w:sz w:val="20"/>
          <w:szCs w:val="20"/>
        </w:rPr>
        <w:t>an entry point for the EurValve research</w:t>
      </w:r>
      <w:r w:rsidR="001E4129">
        <w:rPr>
          <w:rFonts w:ascii="Optima" w:hAnsi="Optima" w:cs="Times New Roman"/>
          <w:sz w:val="20"/>
          <w:szCs w:val="20"/>
        </w:rPr>
        <w:t xml:space="preserve"> platform</w:t>
      </w:r>
      <w:r>
        <w:rPr>
          <w:rFonts w:ascii="Optima" w:hAnsi="Optima" w:cs="Times New Roman"/>
          <w:sz w:val="20"/>
          <w:szCs w:val="20"/>
        </w:rPr>
        <w:t>, provides a Web Application</w:t>
      </w:r>
      <w:r w:rsidR="001E4129">
        <w:rPr>
          <w:rFonts w:ascii="Optima" w:hAnsi="Optima" w:cs="Times New Roman"/>
          <w:sz w:val="20"/>
          <w:szCs w:val="20"/>
        </w:rPr>
        <w:t xml:space="preserve"> type environment</w:t>
      </w:r>
      <w:r>
        <w:rPr>
          <w:rFonts w:ascii="Optima" w:hAnsi="Optima" w:cs="Times New Roman"/>
          <w:sz w:val="20"/>
          <w:szCs w:val="20"/>
        </w:rPr>
        <w:t xml:space="preserve"> where computational pipelines can be prepared, executed and controlled. As each pipeline obtains access to a potentially sensitive set </w:t>
      </w:r>
      <w:r w:rsidR="001E4129">
        <w:rPr>
          <w:rFonts w:ascii="Optima" w:hAnsi="Optima" w:cs="Times New Roman"/>
          <w:sz w:val="20"/>
          <w:szCs w:val="20"/>
        </w:rPr>
        <w:t xml:space="preserve">of </w:t>
      </w:r>
      <w:r>
        <w:rPr>
          <w:rFonts w:ascii="Optima" w:hAnsi="Optima" w:cs="Times New Roman"/>
          <w:sz w:val="20"/>
          <w:szCs w:val="20"/>
        </w:rPr>
        <w:t>medical data, and is also permitted to schedule computational tasks on supercomputing facilities (including the Prometheus cluster at ACC CYFRONET AGH), a comprehensive security system has been envisioned. Invoking computational tasks or accessing EurValve data requires proper authentication and authorization as explained below.</w:t>
      </w:r>
      <w:r w:rsidR="001B08B5">
        <w:rPr>
          <w:rFonts w:ascii="Optima" w:hAnsi="Optima" w:cs="Times New Roman"/>
          <w:sz w:val="20"/>
          <w:szCs w:val="20"/>
        </w:rPr>
        <w:t xml:space="preserve"> This infrastructure </w:t>
      </w:r>
      <w:r w:rsidR="001E4129">
        <w:rPr>
          <w:rFonts w:ascii="Optima" w:hAnsi="Optima" w:cs="Times New Roman"/>
          <w:sz w:val="20"/>
          <w:szCs w:val="20"/>
        </w:rPr>
        <w:t xml:space="preserve">also </w:t>
      </w:r>
      <w:r w:rsidR="001B08B5">
        <w:rPr>
          <w:rFonts w:ascii="Optima" w:hAnsi="Optima" w:cs="Times New Roman"/>
          <w:sz w:val="20"/>
          <w:szCs w:val="20"/>
        </w:rPr>
        <w:t>protects access to services external to the Portal</w:t>
      </w:r>
      <w:r w:rsidR="001E4129">
        <w:rPr>
          <w:rFonts w:ascii="Optima" w:hAnsi="Optima" w:cs="Times New Roman"/>
          <w:sz w:val="20"/>
          <w:szCs w:val="20"/>
        </w:rPr>
        <w:t>,</w:t>
      </w:r>
      <w:r w:rsidR="001B08B5">
        <w:rPr>
          <w:rFonts w:ascii="Optima" w:hAnsi="Optima" w:cs="Times New Roman"/>
          <w:sz w:val="20"/>
          <w:szCs w:val="20"/>
        </w:rPr>
        <w:t xml:space="preserve"> which are equipped with the Policy Enforcement Point (PEP). </w:t>
      </w:r>
      <w:r w:rsidR="001E4129">
        <w:rPr>
          <w:rFonts w:ascii="Optima" w:hAnsi="Optima" w:cs="Times New Roman"/>
          <w:sz w:val="20"/>
          <w:szCs w:val="20"/>
        </w:rPr>
        <w:t xml:space="preserve">It should be noted that in addition </w:t>
      </w:r>
      <w:r w:rsidR="001B08B5">
        <w:rPr>
          <w:rFonts w:ascii="Optima" w:hAnsi="Optima" w:cs="Times New Roman"/>
          <w:sz w:val="20"/>
          <w:szCs w:val="20"/>
        </w:rPr>
        <w:t>to human</w:t>
      </w:r>
      <w:r w:rsidR="001E4129">
        <w:rPr>
          <w:rFonts w:ascii="Optima" w:hAnsi="Optima" w:cs="Times New Roman"/>
          <w:sz w:val="20"/>
          <w:szCs w:val="20"/>
        </w:rPr>
        <w:t xml:space="preserve"> actors the system may also be interfaced by </w:t>
      </w:r>
      <w:r w:rsidR="001B08B5">
        <w:rPr>
          <w:rFonts w:ascii="Optima" w:hAnsi="Optima" w:cs="Times New Roman"/>
          <w:sz w:val="20"/>
          <w:szCs w:val="20"/>
        </w:rPr>
        <w:t xml:space="preserve">machine/robot </w:t>
      </w:r>
      <w:r w:rsidR="001E4129">
        <w:rPr>
          <w:rFonts w:ascii="Optima" w:hAnsi="Optima" w:cs="Times New Roman"/>
          <w:sz w:val="20"/>
          <w:szCs w:val="20"/>
        </w:rPr>
        <w:t xml:space="preserve">actors </w:t>
      </w:r>
      <w:r w:rsidR="001B08B5">
        <w:rPr>
          <w:rFonts w:ascii="Optima" w:hAnsi="Optima" w:cs="Times New Roman"/>
          <w:sz w:val="20"/>
          <w:szCs w:val="20"/>
        </w:rPr>
        <w:t xml:space="preserve">(e.g. one service accessing another using </w:t>
      </w:r>
      <w:r w:rsidR="001E4129">
        <w:rPr>
          <w:rFonts w:ascii="Optima" w:hAnsi="Optima" w:cs="Times New Roman"/>
          <w:sz w:val="20"/>
          <w:szCs w:val="20"/>
        </w:rPr>
        <w:t xml:space="preserve">a </w:t>
      </w:r>
      <w:r w:rsidR="001B08B5">
        <w:rPr>
          <w:rFonts w:ascii="Optima" w:hAnsi="Optima" w:cs="Times New Roman"/>
          <w:sz w:val="20"/>
          <w:szCs w:val="20"/>
        </w:rPr>
        <w:t xml:space="preserve">token obtained </w:t>
      </w:r>
      <w:r w:rsidR="00191007">
        <w:rPr>
          <w:rFonts w:ascii="Optima" w:hAnsi="Optima" w:cs="Times New Roman"/>
          <w:sz w:val="20"/>
          <w:szCs w:val="20"/>
        </w:rPr>
        <w:t>with</w:t>
      </w:r>
      <w:r w:rsidR="001B08B5">
        <w:rPr>
          <w:rFonts w:ascii="Optima" w:hAnsi="Optima" w:cs="Times New Roman"/>
          <w:sz w:val="20"/>
          <w:szCs w:val="20"/>
        </w:rPr>
        <w:t xml:space="preserve"> </w:t>
      </w:r>
      <w:r w:rsidR="00191007">
        <w:rPr>
          <w:rFonts w:ascii="Optima" w:hAnsi="Optima" w:cs="Times New Roman"/>
          <w:sz w:val="20"/>
          <w:szCs w:val="20"/>
        </w:rPr>
        <w:t xml:space="preserve">the </w:t>
      </w:r>
      <w:r w:rsidR="001B08B5">
        <w:rPr>
          <w:rFonts w:ascii="Optima" w:hAnsi="Optima" w:cs="Times New Roman"/>
          <w:sz w:val="20"/>
          <w:szCs w:val="20"/>
        </w:rPr>
        <w:t>standard login/password mechanism via the Portal API).</w:t>
      </w:r>
    </w:p>
    <w:p w:rsidR="00D3190E" w:rsidRDefault="00D3190E" w:rsidP="00D3190E">
      <w:pPr>
        <w:keepNext/>
        <w:spacing w:after="120"/>
        <w:jc w:val="center"/>
      </w:pPr>
      <w:r w:rsidRPr="000E1465">
        <w:rPr>
          <w:noProof/>
        </w:rPr>
        <w:drawing>
          <wp:inline distT="0" distB="0" distL="0" distR="0">
            <wp:extent cx="5405985" cy="3865419"/>
            <wp:effectExtent l="0" t="0" r="4445" b="1905"/>
            <wp:docPr id="117" name="Obraz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00" cy="3896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90E" w:rsidRPr="00EF5B70" w:rsidRDefault="00D3190E" w:rsidP="00D3190E">
      <w:pPr>
        <w:pStyle w:val="Caption"/>
        <w:jc w:val="center"/>
        <w:rPr>
          <w:rFonts w:ascii="Optima" w:hAnsi="Optima" w:cs="Times New Roman"/>
          <w:i w:val="0"/>
          <w:color w:val="auto"/>
          <w:sz w:val="20"/>
          <w:szCs w:val="20"/>
        </w:rPr>
      </w:pPr>
      <w:r w:rsidRPr="00EF5B70">
        <w:rPr>
          <w:i w:val="0"/>
          <w:color w:val="auto"/>
        </w:rPr>
        <w:t>EurValve security infrastructure – conceptual view</w:t>
      </w:r>
    </w:p>
    <w:p w:rsidR="00D3190E" w:rsidRPr="00C2698E" w:rsidRDefault="00D3190E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b/>
          <w:bCs/>
          <w:sz w:val="20"/>
          <w:szCs w:val="20"/>
        </w:rPr>
        <w:t>Identity Provider</w:t>
      </w:r>
    </w:p>
    <w:p w:rsidR="00D3190E" w:rsidRDefault="00D3190E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sz w:val="20"/>
          <w:szCs w:val="20"/>
        </w:rPr>
        <w:t>An Identity Provider (IdP) is a service which is capable of validating that users are actually who they claim</w:t>
      </w:r>
      <w:r w:rsidR="001E4129">
        <w:rPr>
          <w:rFonts w:ascii="Optima" w:hAnsi="Optima" w:cs="Times New Roman"/>
          <w:sz w:val="20"/>
          <w:szCs w:val="20"/>
        </w:rPr>
        <w:t xml:space="preserve"> to be</w:t>
      </w:r>
      <w:r>
        <w:rPr>
          <w:rFonts w:ascii="Optima" w:hAnsi="Optima" w:cs="Times New Roman"/>
          <w:sz w:val="20"/>
          <w:szCs w:val="20"/>
        </w:rPr>
        <w:t>. Thus, Identity Providers perform authentication for lower layers of the software stack. A set of trusted external Identity Providers based on the OpenID standard, including the PL-Grid IdP (required for accessing HPC resources at CYFRONET)</w:t>
      </w:r>
      <w:r w:rsidR="001E4129">
        <w:rPr>
          <w:rFonts w:ascii="Optima" w:hAnsi="Optima" w:cs="Times New Roman"/>
          <w:sz w:val="20"/>
          <w:szCs w:val="20"/>
        </w:rPr>
        <w:t>,</w:t>
      </w:r>
      <w:r>
        <w:rPr>
          <w:rFonts w:ascii="Optima" w:hAnsi="Optima" w:cs="Times New Roman"/>
          <w:sz w:val="20"/>
          <w:szCs w:val="20"/>
        </w:rPr>
        <w:t xml:space="preserve"> has been integrated with the system. Additional IdPs can be plugged in and activated as required.</w:t>
      </w:r>
    </w:p>
    <w:p w:rsidR="00D3190E" w:rsidRPr="000954AC" w:rsidRDefault="00D3190E" w:rsidP="00D3190E">
      <w:pPr>
        <w:jc w:val="both"/>
        <w:rPr>
          <w:rFonts w:ascii="Optima" w:hAnsi="Optima" w:cs="Times New Roman"/>
          <w:b/>
          <w:sz w:val="20"/>
          <w:szCs w:val="20"/>
        </w:rPr>
      </w:pPr>
      <w:r>
        <w:rPr>
          <w:rFonts w:ascii="Optima" w:hAnsi="Optima" w:cs="Times New Roman"/>
          <w:b/>
          <w:sz w:val="20"/>
          <w:szCs w:val="20"/>
        </w:rPr>
        <w:t>System core</w:t>
      </w:r>
    </w:p>
    <w:p w:rsidR="00D3190E" w:rsidRDefault="00D3190E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sz w:val="20"/>
          <w:szCs w:val="20"/>
        </w:rPr>
        <w:t xml:space="preserve">The core of the security system comprises the EurValve Security Web Platform (EV SWP), which includes an IdP assertion consumer, a JSON Web Token issuer, a Policy Decision Point and a Policy Retrieval Point. JSON Web Tokens are a popular standard for authorizing requests to RESTful Web Services (such as </w:t>
      </w:r>
      <w:r w:rsidR="001E4129">
        <w:rPr>
          <w:rFonts w:ascii="Optima" w:hAnsi="Optima" w:cs="Times New Roman"/>
          <w:sz w:val="20"/>
          <w:szCs w:val="20"/>
        </w:rPr>
        <w:t xml:space="preserve">those </w:t>
      </w:r>
      <w:r>
        <w:rPr>
          <w:rFonts w:ascii="Optima" w:hAnsi="Optima" w:cs="Times New Roman"/>
          <w:sz w:val="20"/>
          <w:szCs w:val="20"/>
        </w:rPr>
        <w:t xml:space="preserve">exposed by the EurValve platform) and ensuring that only authenticated </w:t>
      </w:r>
      <w:r w:rsidRPr="00C510EB">
        <w:rPr>
          <w:rFonts w:ascii="Optima" w:hAnsi="Optima" w:cs="Times New Roman"/>
          <w:sz w:val="20"/>
          <w:szCs w:val="20"/>
        </w:rPr>
        <w:t>and</w:t>
      </w:r>
      <w:r>
        <w:rPr>
          <w:rFonts w:ascii="Optima" w:hAnsi="Optima" w:cs="Times New Roman"/>
          <w:sz w:val="20"/>
          <w:szCs w:val="20"/>
        </w:rPr>
        <w:t xml:space="preserve"> authorized users can initiate the relevant actions.</w:t>
      </w:r>
    </w:p>
    <w:p w:rsidR="00D3190E" w:rsidRDefault="00D3190E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b/>
          <w:sz w:val="20"/>
          <w:szCs w:val="20"/>
        </w:rPr>
        <w:t>Policy Decision Point</w:t>
      </w:r>
    </w:p>
    <w:p w:rsidR="00D3190E" w:rsidRDefault="00D3190E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sz w:val="20"/>
          <w:szCs w:val="20"/>
        </w:rPr>
        <w:lastRenderedPageBreak/>
        <w:t xml:space="preserve">A Policy Decision Point (PDP) is a subcomponent of the core service which makes authorization-related decisions. Each request </w:t>
      </w:r>
      <w:r w:rsidR="001E4129">
        <w:rPr>
          <w:rFonts w:ascii="Optima" w:hAnsi="Optima" w:cs="Times New Roman"/>
          <w:sz w:val="20"/>
          <w:szCs w:val="20"/>
        </w:rPr>
        <w:t xml:space="preserve">received by the </w:t>
      </w:r>
      <w:r>
        <w:rPr>
          <w:rFonts w:ascii="Optima" w:hAnsi="Optima" w:cs="Times New Roman"/>
          <w:sz w:val="20"/>
          <w:szCs w:val="20"/>
        </w:rPr>
        <w:t xml:space="preserve">Portal must be accompanied by a valid user token which confirms the user’s identity. It should be noted that authenticating with EurValve does not </w:t>
      </w:r>
      <w:r w:rsidR="001E4129">
        <w:rPr>
          <w:rFonts w:ascii="Optima" w:hAnsi="Optima" w:cs="Times New Roman"/>
          <w:sz w:val="20"/>
          <w:szCs w:val="20"/>
        </w:rPr>
        <w:t xml:space="preserve">entail </w:t>
      </w:r>
      <w:r>
        <w:rPr>
          <w:rFonts w:ascii="Optima" w:hAnsi="Optima" w:cs="Times New Roman"/>
          <w:sz w:val="20"/>
          <w:szCs w:val="20"/>
        </w:rPr>
        <w:t xml:space="preserve">the right to invoke arbitrary operations – the user must </w:t>
      </w:r>
      <w:r w:rsidR="001E4129">
        <w:rPr>
          <w:rFonts w:ascii="Optima" w:hAnsi="Optima" w:cs="Times New Roman"/>
          <w:sz w:val="20"/>
          <w:szCs w:val="20"/>
        </w:rPr>
        <w:t xml:space="preserve">also </w:t>
      </w:r>
      <w:r>
        <w:rPr>
          <w:rFonts w:ascii="Optima" w:hAnsi="Optima" w:cs="Times New Roman"/>
          <w:sz w:val="20"/>
          <w:szCs w:val="20"/>
        </w:rPr>
        <w:t xml:space="preserve">be authorized for a given operation in accordance with </w:t>
      </w:r>
      <w:r>
        <w:rPr>
          <w:rFonts w:ascii="Optima" w:hAnsi="Optima" w:cs="Times New Roman"/>
          <w:b/>
          <w:sz w:val="20"/>
          <w:szCs w:val="20"/>
        </w:rPr>
        <w:t>Policies</w:t>
      </w:r>
      <w:r>
        <w:rPr>
          <w:rFonts w:ascii="Optima" w:hAnsi="Optima" w:cs="Times New Roman"/>
          <w:sz w:val="20"/>
          <w:szCs w:val="20"/>
        </w:rPr>
        <w:t>, which are stored and maintained by the portal. A separate Policy Retrieval Point (PRP) is built into the system to facilitate management of policies.</w:t>
      </w:r>
    </w:p>
    <w:p w:rsidR="00D3190E" w:rsidRDefault="00D3190E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b/>
          <w:sz w:val="20"/>
          <w:szCs w:val="20"/>
        </w:rPr>
        <w:t>Policy Enforcement Point</w:t>
      </w:r>
    </w:p>
    <w:p w:rsidR="00D3190E" w:rsidRPr="000954AC" w:rsidRDefault="00D3190E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sz w:val="20"/>
          <w:szCs w:val="20"/>
        </w:rPr>
        <w:t xml:space="preserve">A Policy Enforcement Point (PEP) contacts the PDP when a new request arrives, and obtains a decision on whether access to the selected service is permitted for the requestor. As the name implies, the task of the PEP is to </w:t>
      </w:r>
      <w:r>
        <w:rPr>
          <w:rFonts w:ascii="Optima" w:hAnsi="Optima" w:cs="Times New Roman"/>
          <w:i/>
          <w:sz w:val="20"/>
          <w:szCs w:val="20"/>
        </w:rPr>
        <w:t xml:space="preserve">enforce </w:t>
      </w:r>
      <w:r>
        <w:rPr>
          <w:rFonts w:ascii="Optima" w:hAnsi="Optima" w:cs="Times New Roman"/>
          <w:sz w:val="20"/>
          <w:szCs w:val="20"/>
        </w:rPr>
        <w:t>policy decisions – either by allowing the request to proceed or by preventing activation of a given operation. Within the EurValve research environment Policy Enforcement Points for HTTP(s) services are being implemented as N</w:t>
      </w:r>
      <w:r w:rsidR="001E4129">
        <w:rPr>
          <w:rFonts w:ascii="Optima" w:hAnsi="Optima" w:cs="Times New Roman"/>
          <w:sz w:val="20"/>
          <w:szCs w:val="20"/>
        </w:rPr>
        <w:t>ginX</w:t>
      </w:r>
      <w:r>
        <w:rPr>
          <w:rFonts w:ascii="Optima" w:hAnsi="Optima" w:cs="Times New Roman"/>
          <w:sz w:val="20"/>
          <w:szCs w:val="20"/>
        </w:rPr>
        <w:t xml:space="preserve"> extensions. </w:t>
      </w:r>
    </w:p>
    <w:p w:rsidR="00D3190E" w:rsidRPr="00C2698E" w:rsidRDefault="00D3190E" w:rsidP="00D3190E">
      <w:pPr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b/>
          <w:bCs/>
          <w:sz w:val="20"/>
          <w:szCs w:val="20"/>
        </w:rPr>
        <w:t>File access s</w:t>
      </w:r>
      <w:r w:rsidRPr="00C2698E">
        <w:rPr>
          <w:rFonts w:ascii="Optima" w:hAnsi="Optima" w:cs="Times New Roman"/>
          <w:b/>
          <w:bCs/>
          <w:sz w:val="20"/>
          <w:szCs w:val="20"/>
        </w:rPr>
        <w:t>ecurity</w:t>
      </w:r>
    </w:p>
    <w:p w:rsidR="00D3190E" w:rsidRDefault="00C510EB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sz w:val="20"/>
          <w:szCs w:val="20"/>
        </w:rPr>
        <w:t>The EurValve File</w:t>
      </w:r>
      <w:r w:rsidR="00D3190E">
        <w:rPr>
          <w:rFonts w:ascii="Optima" w:hAnsi="Optima" w:cs="Times New Roman"/>
          <w:sz w:val="20"/>
          <w:szCs w:val="20"/>
        </w:rPr>
        <w:t xml:space="preserve"> Store represents a special type of service where more fine-grained access control is required. Specifically, each user may be granted access to a subsection of the overall project binary file tree. While the data storage component externally mimics a simple WebDAV server, fine-grained access control is implemented behind the scenes to ensure that user data is not viewable by unauthorized parties.</w:t>
      </w:r>
    </w:p>
    <w:p w:rsidR="00D3190E" w:rsidRDefault="00D3190E" w:rsidP="00D3190E">
      <w:pPr>
        <w:jc w:val="both"/>
        <w:rPr>
          <w:rFonts w:ascii="Optima" w:hAnsi="Optima" w:cs="Times New Roman"/>
          <w:bCs/>
          <w:sz w:val="20"/>
          <w:szCs w:val="20"/>
        </w:rPr>
      </w:pPr>
      <w:r>
        <w:rPr>
          <w:rFonts w:ascii="Optima" w:hAnsi="Optima" w:cs="Times New Roman"/>
          <w:b/>
          <w:bCs/>
          <w:sz w:val="20"/>
          <w:szCs w:val="20"/>
        </w:rPr>
        <w:t>Technologies</w:t>
      </w:r>
    </w:p>
    <w:p w:rsidR="00D3190E" w:rsidRDefault="00D3190E" w:rsidP="00D3190E">
      <w:pPr>
        <w:jc w:val="both"/>
        <w:rPr>
          <w:rFonts w:ascii="Optima" w:hAnsi="Optima" w:cs="Times New Roman"/>
          <w:bCs/>
          <w:sz w:val="20"/>
          <w:szCs w:val="20"/>
        </w:rPr>
      </w:pPr>
      <w:r>
        <w:rPr>
          <w:rFonts w:ascii="Optima" w:hAnsi="Optima" w:cs="Times New Roman"/>
          <w:bCs/>
          <w:sz w:val="20"/>
          <w:szCs w:val="20"/>
        </w:rPr>
        <w:t xml:space="preserve">Following careful consideration, a decision has been made to </w:t>
      </w:r>
      <w:r w:rsidR="001E4129">
        <w:rPr>
          <w:rFonts w:ascii="Optima" w:hAnsi="Optima" w:cs="Times New Roman"/>
          <w:bCs/>
          <w:sz w:val="20"/>
          <w:szCs w:val="20"/>
        </w:rPr>
        <w:t xml:space="preserve">implement </w:t>
      </w:r>
      <w:r>
        <w:rPr>
          <w:rFonts w:ascii="Optima" w:hAnsi="Optima" w:cs="Times New Roman"/>
          <w:bCs/>
          <w:sz w:val="20"/>
          <w:szCs w:val="20"/>
        </w:rPr>
        <w:t>the</w:t>
      </w:r>
      <w:r w:rsidR="0008778B">
        <w:rPr>
          <w:rFonts w:ascii="Optima" w:hAnsi="Optima" w:cs="Times New Roman"/>
          <w:bCs/>
          <w:sz w:val="20"/>
          <w:szCs w:val="20"/>
        </w:rPr>
        <w:t xml:space="preserve"> </w:t>
      </w:r>
      <w:r w:rsidR="001E4129">
        <w:rPr>
          <w:rFonts w:ascii="Optima" w:hAnsi="Optima" w:cs="Times New Roman"/>
          <w:bCs/>
          <w:sz w:val="20"/>
          <w:szCs w:val="20"/>
        </w:rPr>
        <w:t>c</w:t>
      </w:r>
      <w:r w:rsidR="0008778B">
        <w:rPr>
          <w:rFonts w:ascii="Optima" w:hAnsi="Optima" w:cs="Times New Roman"/>
          <w:bCs/>
          <w:sz w:val="20"/>
          <w:szCs w:val="20"/>
        </w:rPr>
        <w:t>ore of</w:t>
      </w:r>
      <w:r>
        <w:rPr>
          <w:rFonts w:ascii="Optima" w:hAnsi="Optima" w:cs="Times New Roman"/>
          <w:bCs/>
          <w:sz w:val="20"/>
          <w:szCs w:val="20"/>
        </w:rPr>
        <w:t xml:space="preserve"> </w:t>
      </w:r>
      <w:r w:rsidR="001E4129">
        <w:rPr>
          <w:rFonts w:ascii="Optima" w:hAnsi="Optima" w:cs="Times New Roman"/>
          <w:bCs/>
          <w:sz w:val="20"/>
          <w:szCs w:val="20"/>
        </w:rPr>
        <w:t xml:space="preserve">the </w:t>
      </w:r>
      <w:r>
        <w:rPr>
          <w:rFonts w:ascii="Optima" w:hAnsi="Optima" w:cs="Times New Roman"/>
          <w:bCs/>
          <w:sz w:val="20"/>
          <w:szCs w:val="20"/>
        </w:rPr>
        <w:t>EurValve Security</w:t>
      </w:r>
      <w:r w:rsidR="0008778B">
        <w:rPr>
          <w:rFonts w:ascii="Optima" w:hAnsi="Optima" w:cs="Times New Roman"/>
          <w:bCs/>
          <w:sz w:val="20"/>
          <w:szCs w:val="20"/>
        </w:rPr>
        <w:t xml:space="preserve"> Platform as </w:t>
      </w:r>
      <w:r w:rsidR="001E4129">
        <w:rPr>
          <w:rFonts w:ascii="Optima" w:hAnsi="Optima" w:cs="Times New Roman"/>
          <w:bCs/>
          <w:sz w:val="20"/>
          <w:szCs w:val="20"/>
        </w:rPr>
        <w:t xml:space="preserve">a </w:t>
      </w:r>
      <w:r>
        <w:rPr>
          <w:rFonts w:ascii="Optima" w:hAnsi="Optima" w:cs="Times New Roman"/>
          <w:bCs/>
          <w:sz w:val="20"/>
          <w:szCs w:val="20"/>
        </w:rPr>
        <w:t xml:space="preserve">Web </w:t>
      </w:r>
      <w:r w:rsidR="0008778B">
        <w:rPr>
          <w:rFonts w:ascii="Optima" w:hAnsi="Optima" w:cs="Times New Roman"/>
          <w:bCs/>
          <w:sz w:val="20"/>
          <w:szCs w:val="20"/>
        </w:rPr>
        <w:t xml:space="preserve">Application exposing </w:t>
      </w:r>
      <w:r w:rsidR="001E4129">
        <w:rPr>
          <w:rFonts w:ascii="Optima" w:hAnsi="Optima" w:cs="Times New Roman"/>
          <w:bCs/>
          <w:sz w:val="20"/>
          <w:szCs w:val="20"/>
        </w:rPr>
        <w:t xml:space="preserve">a </w:t>
      </w:r>
      <w:r w:rsidR="0008778B">
        <w:rPr>
          <w:rFonts w:ascii="Optima" w:hAnsi="Optima" w:cs="Times New Roman"/>
          <w:bCs/>
          <w:sz w:val="20"/>
          <w:szCs w:val="20"/>
        </w:rPr>
        <w:t>simple REST service mechanism.</w:t>
      </w:r>
      <w:r>
        <w:rPr>
          <w:rFonts w:ascii="Optima" w:hAnsi="Optima" w:cs="Times New Roman"/>
          <w:bCs/>
          <w:sz w:val="20"/>
          <w:szCs w:val="20"/>
        </w:rPr>
        <w:t xml:space="preserve"> </w:t>
      </w:r>
      <w:r w:rsidR="001E4129">
        <w:rPr>
          <w:rFonts w:ascii="Optima" w:hAnsi="Optima" w:cs="Times New Roman"/>
          <w:bCs/>
          <w:sz w:val="20"/>
          <w:szCs w:val="20"/>
        </w:rPr>
        <w:t xml:space="preserve">The </w:t>
      </w:r>
      <w:r w:rsidR="0008778B">
        <w:rPr>
          <w:rFonts w:ascii="Optima" w:hAnsi="Optima" w:cs="Times New Roman"/>
          <w:bCs/>
          <w:sz w:val="20"/>
          <w:szCs w:val="20"/>
        </w:rPr>
        <w:t xml:space="preserve">platform </w:t>
      </w:r>
      <w:r w:rsidR="001E4129">
        <w:rPr>
          <w:rFonts w:ascii="Optima" w:hAnsi="Optima" w:cs="Times New Roman"/>
          <w:bCs/>
          <w:sz w:val="20"/>
          <w:szCs w:val="20"/>
        </w:rPr>
        <w:t xml:space="preserve">includes </w:t>
      </w:r>
      <w:r w:rsidR="0008778B">
        <w:rPr>
          <w:rFonts w:ascii="Optima" w:hAnsi="Optima" w:cs="Times New Roman"/>
          <w:bCs/>
          <w:sz w:val="20"/>
          <w:szCs w:val="20"/>
        </w:rPr>
        <w:t>a versatile security module</w:t>
      </w:r>
      <w:r>
        <w:rPr>
          <w:rFonts w:ascii="Optima" w:hAnsi="Optima" w:cs="Times New Roman"/>
          <w:bCs/>
          <w:sz w:val="20"/>
          <w:szCs w:val="20"/>
        </w:rPr>
        <w:t xml:space="preserve"> which supports </w:t>
      </w:r>
      <w:r w:rsidR="001E4129">
        <w:rPr>
          <w:rFonts w:ascii="Optima" w:hAnsi="Optima" w:cs="Times New Roman"/>
          <w:bCs/>
          <w:sz w:val="20"/>
          <w:szCs w:val="20"/>
        </w:rPr>
        <w:t xml:space="preserve">a variety of </w:t>
      </w:r>
      <w:r>
        <w:rPr>
          <w:rFonts w:ascii="Optima" w:hAnsi="Optima" w:cs="Times New Roman"/>
          <w:bCs/>
          <w:sz w:val="20"/>
          <w:szCs w:val="20"/>
        </w:rPr>
        <w:t xml:space="preserve">authentication and authorization methods, including integration with </w:t>
      </w:r>
      <w:r w:rsidR="001E4129">
        <w:rPr>
          <w:rFonts w:ascii="Optima" w:hAnsi="Optima" w:cs="Times New Roman"/>
          <w:bCs/>
          <w:sz w:val="20"/>
          <w:szCs w:val="20"/>
        </w:rPr>
        <w:t xml:space="preserve">many different </w:t>
      </w:r>
      <w:r>
        <w:rPr>
          <w:rFonts w:ascii="Optima" w:hAnsi="Optima" w:cs="Times New Roman"/>
          <w:bCs/>
          <w:sz w:val="20"/>
          <w:szCs w:val="20"/>
        </w:rPr>
        <w:t>Identity Provider services.</w:t>
      </w:r>
    </w:p>
    <w:p w:rsidR="00D3190E" w:rsidRPr="00EF5B70" w:rsidRDefault="00D3190E" w:rsidP="00D3190E">
      <w:pPr>
        <w:jc w:val="both"/>
        <w:rPr>
          <w:rFonts w:ascii="Optima" w:hAnsi="Optima" w:cs="Times New Roman"/>
          <w:b/>
          <w:bCs/>
          <w:sz w:val="20"/>
          <w:szCs w:val="20"/>
        </w:rPr>
      </w:pPr>
      <w:r>
        <w:rPr>
          <w:rFonts w:ascii="Optima" w:hAnsi="Optima" w:cs="Times New Roman"/>
          <w:b/>
          <w:bCs/>
          <w:sz w:val="20"/>
          <w:szCs w:val="20"/>
        </w:rPr>
        <w:t>Obtaining an EurValve account</w:t>
      </w:r>
    </w:p>
    <w:p w:rsidR="00057343" w:rsidRDefault="00D3190E" w:rsidP="00D3190E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sz w:val="20"/>
          <w:szCs w:val="20"/>
        </w:rPr>
        <w:t>The EurValve portal is available at</w:t>
      </w:r>
      <w:r w:rsidR="00AA48EB">
        <w:rPr>
          <w:rFonts w:ascii="Optima" w:hAnsi="Optima" w:cs="Times New Roman"/>
          <w:sz w:val="20"/>
          <w:szCs w:val="20"/>
        </w:rPr>
        <w:t xml:space="preserve"> </w:t>
      </w:r>
      <w:hyperlink r:id="rId9" w:history="1">
        <w:r w:rsidRPr="00C67F75">
          <w:rPr>
            <w:rStyle w:val="Hyperlink"/>
            <w:rFonts w:ascii="Optima" w:hAnsi="Optima" w:cs="Times New Roman"/>
            <w:sz w:val="20"/>
            <w:szCs w:val="20"/>
          </w:rPr>
          <w:t>https://valve.cyfronet.pl</w:t>
        </w:r>
      </w:hyperlink>
      <w:r>
        <w:rPr>
          <w:rFonts w:ascii="Optima" w:hAnsi="Optima" w:cs="Times New Roman"/>
          <w:sz w:val="20"/>
          <w:szCs w:val="20"/>
        </w:rPr>
        <w:t xml:space="preserve"> – simply navigate to the portal and enter your login credentials. All users of the PL-Grid Infrastructure are automatically recognized. If you do not have a PL-Grid account, you can request a dedicated EurValve account by accessing the Portal registration feature (you will need to be approved by one of the Portal’s administrators).</w:t>
      </w:r>
    </w:p>
    <w:p w:rsidR="000E3801" w:rsidRDefault="001E4129" w:rsidP="00D3190E">
      <w:pPr>
        <w:jc w:val="both"/>
        <w:rPr>
          <w:rFonts w:ascii="Optima" w:hAnsi="Optima" w:cs="Times New Roman"/>
          <w:b/>
          <w:sz w:val="20"/>
          <w:szCs w:val="20"/>
        </w:rPr>
      </w:pPr>
      <w:r>
        <w:rPr>
          <w:rFonts w:ascii="Optima" w:hAnsi="Optima" w:cs="Times New Roman"/>
          <w:b/>
          <w:sz w:val="20"/>
          <w:szCs w:val="20"/>
        </w:rPr>
        <w:t>Up-to-Date</w:t>
      </w:r>
      <w:r w:rsidR="000E3801">
        <w:rPr>
          <w:rFonts w:ascii="Optima" w:hAnsi="Optima" w:cs="Times New Roman"/>
          <w:b/>
          <w:sz w:val="20"/>
          <w:szCs w:val="20"/>
        </w:rPr>
        <w:t xml:space="preserve"> API</w:t>
      </w:r>
      <w:r w:rsidR="000E3801" w:rsidRPr="000E3801">
        <w:rPr>
          <w:rFonts w:ascii="Optima" w:hAnsi="Optima" w:cs="Times New Roman"/>
          <w:b/>
          <w:sz w:val="20"/>
          <w:szCs w:val="20"/>
        </w:rPr>
        <w:t xml:space="preserve"> Documentation</w:t>
      </w:r>
    </w:p>
    <w:p w:rsidR="000E3801" w:rsidRDefault="00DA138E" w:rsidP="000E3801">
      <w:p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sz w:val="20"/>
          <w:szCs w:val="20"/>
        </w:rPr>
        <w:t>T</w:t>
      </w:r>
      <w:r w:rsidR="000E3801">
        <w:rPr>
          <w:rFonts w:ascii="Optima" w:hAnsi="Optima" w:cs="Times New Roman"/>
          <w:sz w:val="20"/>
          <w:szCs w:val="20"/>
        </w:rPr>
        <w:t xml:space="preserve">he most recent documentation </w:t>
      </w:r>
      <w:r>
        <w:rPr>
          <w:rFonts w:ascii="Optima" w:hAnsi="Optima" w:cs="Times New Roman"/>
          <w:sz w:val="20"/>
          <w:szCs w:val="20"/>
        </w:rPr>
        <w:t xml:space="preserve">of </w:t>
      </w:r>
      <w:r w:rsidR="000E3801">
        <w:rPr>
          <w:rFonts w:ascii="Optima" w:hAnsi="Optima" w:cs="Times New Roman"/>
          <w:sz w:val="20"/>
          <w:szCs w:val="20"/>
        </w:rPr>
        <w:t>the REST API</w:t>
      </w:r>
      <w:r>
        <w:rPr>
          <w:rFonts w:ascii="Optima" w:hAnsi="Optima" w:cs="Times New Roman"/>
          <w:sz w:val="20"/>
          <w:szCs w:val="20"/>
        </w:rPr>
        <w:t xml:space="preserve"> can be found at the following addr</w:t>
      </w:r>
      <w:bookmarkStart w:id="0" w:name="_GoBack"/>
      <w:bookmarkEnd w:id="0"/>
      <w:r>
        <w:rPr>
          <w:rFonts w:ascii="Optima" w:hAnsi="Optima" w:cs="Times New Roman"/>
          <w:sz w:val="20"/>
          <w:szCs w:val="20"/>
        </w:rPr>
        <w:t>esses</w:t>
      </w:r>
      <w:r w:rsidR="000E3801">
        <w:rPr>
          <w:rFonts w:ascii="Optima" w:hAnsi="Optima" w:cs="Times New Roman"/>
          <w:sz w:val="20"/>
          <w:szCs w:val="20"/>
        </w:rPr>
        <w:t>:</w:t>
      </w:r>
    </w:p>
    <w:p w:rsidR="00EA11B1" w:rsidRDefault="00EA11B1" w:rsidP="00EA11B1">
      <w:pPr>
        <w:pStyle w:val="ListParagraph"/>
        <w:numPr>
          <w:ilvl w:val="0"/>
          <w:numId w:val="1"/>
        </w:numPr>
        <w:jc w:val="both"/>
        <w:rPr>
          <w:rFonts w:ascii="Optima" w:hAnsi="Optima" w:cs="Times New Roman"/>
          <w:sz w:val="20"/>
          <w:szCs w:val="20"/>
        </w:rPr>
      </w:pPr>
      <w:r>
        <w:rPr>
          <w:rFonts w:ascii="Optima" w:hAnsi="Optima" w:cs="Times New Roman"/>
          <w:sz w:val="20"/>
          <w:szCs w:val="20"/>
        </w:rPr>
        <w:t>Authentication / Token retrieval:</w:t>
      </w:r>
      <w:r w:rsidR="000E3801" w:rsidRPr="000E3801">
        <w:rPr>
          <w:rFonts w:ascii="Optima" w:hAnsi="Optima" w:cs="Times New Roman"/>
          <w:sz w:val="20"/>
          <w:szCs w:val="20"/>
        </w:rPr>
        <w:t xml:space="preserve"> </w:t>
      </w:r>
      <w:hyperlink r:id="rId10" w:history="1">
        <w:r w:rsidRPr="00452F5F">
          <w:rPr>
            <w:rStyle w:val="Hyperlink"/>
            <w:rFonts w:ascii="Optima" w:hAnsi="Optima" w:cs="Times New Roman"/>
            <w:sz w:val="20"/>
            <w:szCs w:val="20"/>
          </w:rPr>
          <w:t>https://valve.cyfronet.pl/help/api/sessions</w:t>
        </w:r>
      </w:hyperlink>
      <w:r>
        <w:rPr>
          <w:rFonts w:ascii="Optima" w:hAnsi="Optima" w:cs="Times New Roman"/>
          <w:sz w:val="20"/>
          <w:szCs w:val="20"/>
        </w:rPr>
        <w:t xml:space="preserve"> </w:t>
      </w:r>
    </w:p>
    <w:p w:rsidR="000E3801" w:rsidRDefault="00EA11B1" w:rsidP="00EA11B1">
      <w:pPr>
        <w:pStyle w:val="ListParagraph"/>
        <w:numPr>
          <w:ilvl w:val="0"/>
          <w:numId w:val="1"/>
        </w:numPr>
        <w:jc w:val="both"/>
        <w:rPr>
          <w:rFonts w:ascii="Optima" w:hAnsi="Optima" w:cs="Times New Roman"/>
          <w:sz w:val="20"/>
          <w:szCs w:val="20"/>
        </w:rPr>
      </w:pPr>
      <w:r w:rsidRPr="00EA11B1">
        <w:rPr>
          <w:rFonts w:ascii="Optima" w:hAnsi="Optima" w:cs="Times New Roman"/>
          <w:sz w:val="20"/>
          <w:szCs w:val="20"/>
        </w:rPr>
        <w:t>Policy Decision Point (PDP)</w:t>
      </w:r>
      <w:r w:rsidR="000E3801" w:rsidRPr="000E3801">
        <w:rPr>
          <w:rFonts w:ascii="Optima" w:hAnsi="Optima" w:cs="Times New Roman"/>
          <w:sz w:val="20"/>
          <w:szCs w:val="20"/>
        </w:rPr>
        <w:t xml:space="preserve">: </w:t>
      </w:r>
      <w:r>
        <w:rPr>
          <w:rFonts w:ascii="Optima" w:hAnsi="Optima" w:cs="Times New Roman"/>
          <w:sz w:val="20"/>
          <w:szCs w:val="20"/>
        </w:rPr>
        <w:t xml:space="preserve"> </w:t>
      </w:r>
      <w:hyperlink r:id="rId11" w:history="1">
        <w:r w:rsidRPr="00452F5F">
          <w:rPr>
            <w:rStyle w:val="Hyperlink"/>
            <w:rFonts w:ascii="Optima" w:hAnsi="Optima" w:cs="Times New Roman"/>
            <w:sz w:val="20"/>
            <w:szCs w:val="20"/>
          </w:rPr>
          <w:t>https://valve.cyfronet.pl/help/api/pdp</w:t>
        </w:r>
      </w:hyperlink>
      <w:r>
        <w:rPr>
          <w:rFonts w:ascii="Optima" w:hAnsi="Optima" w:cs="Times New Roman"/>
          <w:sz w:val="20"/>
          <w:szCs w:val="20"/>
        </w:rPr>
        <w:t xml:space="preserve"> </w:t>
      </w:r>
    </w:p>
    <w:p w:rsidR="00EA11B1" w:rsidRPr="000E3801" w:rsidRDefault="00EA11B1" w:rsidP="00EA11B1">
      <w:pPr>
        <w:pStyle w:val="ListParagraph"/>
        <w:numPr>
          <w:ilvl w:val="0"/>
          <w:numId w:val="1"/>
        </w:numPr>
        <w:jc w:val="both"/>
        <w:rPr>
          <w:rFonts w:ascii="Optima" w:hAnsi="Optima" w:cs="Times New Roman"/>
          <w:sz w:val="20"/>
          <w:szCs w:val="20"/>
        </w:rPr>
      </w:pPr>
      <w:r w:rsidRPr="00EA11B1">
        <w:rPr>
          <w:rFonts w:ascii="Optima" w:hAnsi="Optima" w:cs="Times New Roman"/>
          <w:sz w:val="20"/>
          <w:szCs w:val="20"/>
        </w:rPr>
        <w:t>Policy management</w:t>
      </w:r>
      <w:r>
        <w:rPr>
          <w:rFonts w:ascii="Optima" w:hAnsi="Optima" w:cs="Times New Roman"/>
          <w:sz w:val="20"/>
          <w:szCs w:val="20"/>
        </w:rPr>
        <w:t xml:space="preserve">: </w:t>
      </w:r>
      <w:hyperlink r:id="rId12" w:history="1">
        <w:r w:rsidRPr="00452F5F">
          <w:rPr>
            <w:rStyle w:val="Hyperlink"/>
            <w:rFonts w:ascii="Optima" w:hAnsi="Optima" w:cs="Times New Roman"/>
            <w:sz w:val="20"/>
            <w:szCs w:val="20"/>
          </w:rPr>
          <w:t>https://valve.cyfronet.pl/help/api/policies</w:t>
        </w:r>
      </w:hyperlink>
      <w:r>
        <w:rPr>
          <w:rFonts w:ascii="Optima" w:hAnsi="Optima" w:cs="Times New Roman"/>
          <w:sz w:val="20"/>
          <w:szCs w:val="20"/>
        </w:rPr>
        <w:t xml:space="preserve"> </w:t>
      </w:r>
    </w:p>
    <w:sectPr w:rsidR="00EA11B1" w:rsidRPr="000E3801" w:rsidSect="00D3190E">
      <w:headerReference w:type="even" r:id="rId13"/>
      <w:footerReference w:type="even" r:id="rId14"/>
      <w:pgSz w:w="11906" w:h="16838"/>
      <w:pgMar w:top="1440" w:right="1699" w:bottom="1138" w:left="1440" w:header="129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345" w:rsidRDefault="00443345" w:rsidP="00D3190E">
      <w:pPr>
        <w:spacing w:after="0" w:line="240" w:lineRule="auto"/>
      </w:pPr>
      <w:r>
        <w:separator/>
      </w:r>
    </w:p>
  </w:endnote>
  <w:endnote w:type="continuationSeparator" w:id="0">
    <w:p w:rsidR="00443345" w:rsidRDefault="00443345" w:rsidP="00D3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Times New Roman"/>
    <w:charset w:val="00"/>
    <w:family w:val="auto"/>
    <w:pitch w:val="variable"/>
    <w:sig w:usb0="00000001" w:usb1="00000008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08" w:type="pct"/>
      <w:shd w:val="clear" w:color="auto" w:fill="BF8F00" w:themeFill="accent4" w:themeFillShade="BF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56"/>
      <w:gridCol w:w="8475"/>
    </w:tblGrid>
    <w:tr w:rsidR="005A6DEA" w:rsidTr="00093A48">
      <w:tc>
        <w:tcPr>
          <w:tcW w:w="1014" w:type="pct"/>
          <w:shd w:val="clear" w:color="auto" w:fill="FFD966" w:themeFill="accent4" w:themeFillTint="99"/>
          <w:vAlign w:val="center"/>
        </w:tcPr>
        <w:p w:rsidR="005A6DEA" w:rsidRDefault="00443345" w:rsidP="00EC3069">
          <w:pPr>
            <w:pStyle w:val="Header"/>
            <w:jc w:val="right"/>
            <w:rPr>
              <w:caps/>
              <w:color w:val="FFFFFF" w:themeColor="background1"/>
            </w:rPr>
          </w:pPr>
        </w:p>
      </w:tc>
      <w:tc>
        <w:tcPr>
          <w:tcW w:w="3986" w:type="pct"/>
          <w:shd w:val="clear" w:color="auto" w:fill="FFD966" w:themeFill="accent4" w:themeFillTint="99"/>
          <w:vAlign w:val="center"/>
        </w:tcPr>
        <w:p w:rsidR="005A6DEA" w:rsidRDefault="00967E73" w:rsidP="005A6DEA">
          <w:pPr>
            <w:pStyle w:val="Header"/>
            <w:ind w:right="1727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39</w:t>
          </w:r>
        </w:p>
      </w:tc>
    </w:tr>
  </w:tbl>
  <w:p w:rsidR="0059522A" w:rsidRDefault="00443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345" w:rsidRDefault="00443345" w:rsidP="00D3190E">
      <w:pPr>
        <w:spacing w:after="0" w:line="240" w:lineRule="auto"/>
      </w:pPr>
      <w:r>
        <w:separator/>
      </w:r>
    </w:p>
  </w:footnote>
  <w:footnote w:type="continuationSeparator" w:id="0">
    <w:p w:rsidR="00443345" w:rsidRDefault="00443345" w:rsidP="00D3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08" w:type="pct"/>
      <w:shd w:val="clear" w:color="auto" w:fill="BF8F00" w:themeFill="accent4" w:themeFillShade="BF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56"/>
      <w:gridCol w:w="8475"/>
    </w:tblGrid>
    <w:tr w:rsidR="005A6DEA" w:rsidTr="00093A48">
      <w:tc>
        <w:tcPr>
          <w:tcW w:w="1014" w:type="pct"/>
          <w:shd w:val="clear" w:color="auto" w:fill="FFD966" w:themeFill="accent4" w:themeFillTint="99"/>
          <w:vAlign w:val="center"/>
        </w:tcPr>
        <w:p w:rsidR="005A6DEA" w:rsidRDefault="00443345" w:rsidP="005A6DEA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3986" w:type="pct"/>
          <w:shd w:val="clear" w:color="auto" w:fill="FFD966" w:themeFill="accent4" w:themeFillTint="99"/>
          <w:vAlign w:val="center"/>
        </w:tcPr>
        <w:p w:rsidR="005A6DEA" w:rsidRDefault="00967E73" w:rsidP="003A0328">
          <w:pPr>
            <w:pStyle w:val="Header"/>
            <w:tabs>
              <w:tab w:val="left" w:pos="6271"/>
            </w:tabs>
            <w:ind w:right="1727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platforms</w:t>
          </w:r>
        </w:p>
      </w:tc>
    </w:tr>
  </w:tbl>
  <w:p w:rsidR="0059522A" w:rsidRDefault="00443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3C2"/>
    <w:multiLevelType w:val="hybridMultilevel"/>
    <w:tmpl w:val="38E8A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0E"/>
    <w:rsid w:val="00057343"/>
    <w:rsid w:val="0008778B"/>
    <w:rsid w:val="000E3801"/>
    <w:rsid w:val="00191007"/>
    <w:rsid w:val="001B08B5"/>
    <w:rsid w:val="001D5D96"/>
    <w:rsid w:val="001E4129"/>
    <w:rsid w:val="002A6C17"/>
    <w:rsid w:val="00443345"/>
    <w:rsid w:val="004A5033"/>
    <w:rsid w:val="0055503E"/>
    <w:rsid w:val="006F0907"/>
    <w:rsid w:val="00967E73"/>
    <w:rsid w:val="00A04863"/>
    <w:rsid w:val="00AA48EB"/>
    <w:rsid w:val="00C510EB"/>
    <w:rsid w:val="00D01BB6"/>
    <w:rsid w:val="00D3190E"/>
    <w:rsid w:val="00DA138E"/>
    <w:rsid w:val="00EA1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A1DE"/>
  <w15:docId w15:val="{50690F63-ED6D-4A98-8CE0-8ABC8FDD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190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0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1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3190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190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0E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alve.cyfronet.pl/help/api/polic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lve.cyfronet.pl/help/api/pd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alve.cyfronet.pl/help/api/s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ve.cyfronet.p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Nowakowski</dc:creator>
  <cp:lastModifiedBy>Piotr Nowakowski</cp:lastModifiedBy>
  <cp:revision>6</cp:revision>
  <dcterms:created xsi:type="dcterms:W3CDTF">2016-12-12T20:26:00Z</dcterms:created>
  <dcterms:modified xsi:type="dcterms:W3CDTF">2016-12-14T14:55:00Z</dcterms:modified>
</cp:coreProperties>
</file>