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光明月AAA前端修改（部分）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1、首页</w:t>
        <w:br/>
        <w:t>将banner区域增加一个AAA的图片+AAA的按钮</w:t>
        <w:br/>
        <w:t>AAA精品——结构一样，只是需要更换里面的视频和图片，点击下单去AAA的下单（购买）页面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71500" cy="1247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购买——文鹏负责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666750" cy="144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邀请好友购酒——分享中间页/好友收到的页面（图片和文字不一样）</w:t>
        <w:br/>
        <w:br/>
        <w:t>2、邀请合伙人页面，不同的产品需要拼凑不同的购买件数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3、老版的首页新增一个AAA的光明月，放在最后（功能同AAAA光明月，只是图片、文字不一样）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14350" cy="11239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2026-06-10T07:56:32Z</dcterms:created>
  <dc:creator>Apache POI</dc:creator>
</cp:coreProperties>
</file>