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02. Aidot 시작하기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02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시작하기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「Aidot 시작하기」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처음 접속한 운영자가 로그인부터 주요 메뉴 이동까지 수행한다.</w:t>
      </w:r>
    </w:p>
    <w:p>
      <w:pPr>
        <w:pStyle w:val="ListBullet"/>
      </w:pPr>
      <w:r>
        <w:t>상단 탭과 좌측 메뉴의 역할을 이해한다.</w:t>
      </w:r>
    </w:p>
    <w:p>
      <w:pPr>
        <w:pStyle w:val="ListBullet"/>
      </w:pPr>
      <w:r>
        <w:t>봇 생성부터 테스트까지 기본 흐름을 잡는다.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Aidot 시작하기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접속 주소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시작하기에서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로그인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시작하기에서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언어 선택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시작하기에서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메인 화면 구성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시작하기에서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좌측 메뉴 구조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시작하기에서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Bot/API/Admin 영역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시작하기에서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접속 주소</w:t>
      </w:r>
    </w:p>
    <w:p>
      <w:r>
        <w:t>접속 주소 항목은 「Aidot 시작하기」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로그인</w:t>
      </w:r>
    </w:p>
    <w:p>
      <w:r>
        <w:t>로그인 항목은 「Aidot 시작하기」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언어 선택</w:t>
      </w:r>
    </w:p>
    <w:p>
      <w:r>
        <w:t>언어 선택 항목은 「Aidot 시작하기」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메인 화면 구성</w:t>
      </w:r>
    </w:p>
    <w:p>
      <w:r>
        <w:t>메인 화면 구성 항목은 「Aidot 시작하기」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좌측 메뉴 구조</w:t>
      </w:r>
    </w:p>
    <w:p>
      <w:r>
        <w:t>좌측 메뉴 구조 항목은 「Aidot 시작하기」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Bot/API/Admin 영역</w:t>
      </w:r>
    </w:p>
    <w:p>
      <w:r>
        <w:t>Bot/API/Admin 영역 항목은 「Aidot 시작하기」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기본 작업 흐름</w:t>
      </w:r>
    </w:p>
    <w:p>
      <w:r>
        <w:t>기본 작업 흐름 항목은 「Aidot 시작하기」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Aidot 시작하기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로그인 화면</w:t>
            </w:r>
          </w:p>
        </w:tc>
      </w:tr>
    </w:tbl>
    <w:p>
      <w:pPr>
        <w:pStyle w:val="Caption"/>
      </w:pPr>
      <w:r>
        <w:t>그림 Aidot 시작하기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color w:val="5A6777"/>
          <w:sz w:val="18"/>
        </w:rPr>
        <w:t>로그인 후 메인 화면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