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流失风险预警报告</w:t>
      </w:r>
    </w:p>
    <w:p/>
    <w:p>
      <w:r>
        <w:rPr>
          <w:b/>
        </w:rPr>
        <w:t>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高风险客户数量</w:t>
            </w:r>
          </w:p>
        </w:tc>
        <w:tc>
          <w:tcPr>
            <w:tcW w:type="dxa" w:w="4392"/>
          </w:tcPr>
          <w:p>
            <w:r>
              <w:t>X家</w:t>
            </w:r>
          </w:p>
        </w:tc>
      </w:tr>
      <w:tr>
        <w:tc>
          <w:tcPr>
            <w:tcW w:type="dxa" w:w="4392"/>
            <w:shd w:fill="E8E8E8"/>
          </w:tcPr>
          <w:p>
            <w:r>
              <w:t>中风险客户数量</w:t>
            </w:r>
          </w:p>
        </w:tc>
        <w:tc>
          <w:tcPr>
            <w:tcW w:type="dxa" w:w="4392"/>
          </w:tcPr>
          <w:p>
            <w:r>
              <w:t>X家</w:t>
            </w:r>
          </w:p>
        </w:tc>
      </w:tr>
      <w:tr>
        <w:tc>
          <w:tcPr>
            <w:tcW w:type="dxa" w:w="4392"/>
            <w:shd w:fill="E8E8E8"/>
          </w:tcPr>
          <w:p>
            <w:r>
              <w:t>本月新增预警</w:t>
            </w:r>
          </w:p>
        </w:tc>
        <w:tc>
          <w:tcPr>
            <w:tcW w:type="dxa" w:w="4392"/>
          </w:tcPr>
          <w:p>
            <w:r>
              <w:t>X家</w:t>
            </w:r>
          </w:p>
        </w:tc>
      </w:tr>
    </w:tbl>
    <w:p>
      <w:r>
        <w:br w:type="page"/>
      </w:r>
    </w:p>
    <w:p>
      <w:r>
        <w:rPr>
          <w:b/>
        </w:rPr>
        <w:t>第一章 流失风险排名</w:t>
      </w:r>
    </w:p>
    <w:p>
      <w:r>
        <w:rPr>
          <w:b/>
        </w:rPr>
        <w:t>1.1 高风险客户清单（红色预警）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FFCCCC"/>
          </w:tcPr>
          <w:p>
            <w:r>
              <w:t>客户名称</w:t>
            </w:r>
          </w:p>
        </w:tc>
        <w:tc>
          <w:tcPr>
            <w:tcW w:type="dxa" w:w="1757"/>
            <w:shd w:fill="FFCCCC"/>
          </w:tcPr>
          <w:p>
            <w:r>
              <w:t>风险得分</w:t>
            </w:r>
          </w:p>
        </w:tc>
        <w:tc>
          <w:tcPr>
            <w:tcW w:type="dxa" w:w="1757"/>
            <w:shd w:fill="FFCCCC"/>
          </w:tcPr>
          <w:p>
            <w:r>
              <w:t>主要风险因素</w:t>
            </w:r>
          </w:p>
        </w:tc>
        <w:tc>
          <w:tcPr>
            <w:tcW w:type="dxa" w:w="1757"/>
            <w:shd w:fill="FFCCCC"/>
          </w:tcPr>
          <w:p>
            <w:r>
              <w:t>预警时间</w:t>
            </w:r>
          </w:p>
        </w:tc>
        <w:tc>
          <w:tcPr>
            <w:tcW w:type="dxa" w:w="1757"/>
            <w:shd w:fill="FFCCCC"/>
          </w:tcPr>
          <w:p>
            <w:r>
              <w:t>负责销售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</w:rPr>
        <w:t>1.2 中风险客户清单（橙色预警）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FFE0CC"/>
          </w:tcPr>
          <w:p>
            <w:r>
              <w:t>客户名称</w:t>
            </w:r>
          </w:p>
        </w:tc>
        <w:tc>
          <w:tcPr>
            <w:tcW w:type="dxa" w:w="1757"/>
            <w:shd w:fill="FFE0CC"/>
          </w:tcPr>
          <w:p>
            <w:r>
              <w:t>风险得分</w:t>
            </w:r>
          </w:p>
        </w:tc>
        <w:tc>
          <w:tcPr>
            <w:tcW w:type="dxa" w:w="1757"/>
            <w:shd w:fill="FFE0CC"/>
          </w:tcPr>
          <w:p>
            <w:r>
              <w:t>主要风险因素</w:t>
            </w:r>
          </w:p>
        </w:tc>
        <w:tc>
          <w:tcPr>
            <w:tcW w:type="dxa" w:w="1757"/>
            <w:shd w:fill="FFE0CC"/>
          </w:tcPr>
          <w:p>
            <w:r>
              <w:t>预警时间</w:t>
            </w:r>
          </w:p>
        </w:tc>
        <w:tc>
          <w:tcPr>
            <w:tcW w:type="dxa" w:w="1757"/>
            <w:shd w:fill="FFE0CC"/>
          </w:tcPr>
          <w:p>
            <w:r>
              <w:t>负责销售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</w:rPr>
        <w:t>1.3 风险变化趋势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E8E8E8"/>
          </w:tcPr>
          <w:p>
            <w:r>
              <w:t>月份</w:t>
            </w:r>
          </w:p>
        </w:tc>
        <w:tc>
          <w:tcPr>
            <w:tcW w:type="dxa" w:w="2196"/>
            <w:shd w:fill="E8E8E8"/>
          </w:tcPr>
          <w:p>
            <w:r>
              <w:t>高风险</w:t>
            </w:r>
          </w:p>
        </w:tc>
        <w:tc>
          <w:tcPr>
            <w:tcW w:type="dxa" w:w="2196"/>
            <w:shd w:fill="E8E8E8"/>
          </w:tcPr>
          <w:p>
            <w:r>
              <w:t>中风险</w:t>
            </w:r>
          </w:p>
        </w:tc>
        <w:tc>
          <w:tcPr>
            <w:tcW w:type="dxa" w:w="2196"/>
            <w:shd w:fill="E8E8E8"/>
          </w:tcPr>
          <w:p>
            <w:r>
              <w:t>低风险</w:t>
            </w:r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第二章 流失原因分析</w:t>
      </w:r>
    </w:p>
    <w:p>
      <w:r>
        <w:rPr>
          <w:b/>
        </w:rPr>
        <w:t>2.1 主动流失因素</w:t>
      </w:r>
    </w:p>
    <w:p>
      <w:pPr>
        <w:pStyle w:val="ListBullet"/>
      </w:pPr>
      <w:r>
        <w:t>服务费用超出预算</w:t>
      </w:r>
    </w:p>
    <w:p>
      <w:pPr>
        <w:pStyle w:val="ListBullet"/>
      </w:pPr>
      <w:r>
        <w:t>对服务质量不满意</w:t>
      </w:r>
    </w:p>
    <w:p>
      <w:pPr>
        <w:pStyle w:val="ListBullet"/>
      </w:pPr>
      <w:r>
        <w:t>选择了竞争对手</w:t>
      </w:r>
    </w:p>
    <w:p>
      <w:pPr>
        <w:pStyle w:val="ListBullet"/>
      </w:pPr>
      <w:r>
        <w:t>内部调整/裁员</w:t>
      </w:r>
    </w:p>
    <w:p/>
    <w:p>
      <w:r>
        <w:rPr>
          <w:b/>
        </w:rPr>
        <w:t>2.2 被动流失因素</w:t>
      </w:r>
    </w:p>
    <w:p>
      <w:pPr>
        <w:pStyle w:val="ListBullet"/>
      </w:pPr>
      <w:r>
        <w:t>企业注销/破产</w:t>
      </w:r>
    </w:p>
    <w:p>
      <w:pPr>
        <w:pStyle w:val="ListBullet"/>
      </w:pPr>
      <w:r>
        <w:t>业务转型（不再需要服务）</w:t>
      </w:r>
    </w:p>
    <w:p>
      <w:pPr>
        <w:pStyle w:val="ListBullet"/>
      </w:pPr>
      <w:r>
        <w:t>被竞争对手收购</w:t>
      </w:r>
    </w:p>
    <w:p>
      <w:pPr>
        <w:pStyle w:val="ListBullet"/>
      </w:pPr>
      <w:r>
        <w:t>长期不配合工作</w:t>
      </w:r>
    </w:p>
    <w:p/>
    <w:p>
      <w:r>
        <w:rPr>
          <w:b/>
        </w:rPr>
        <w:t>2.3 行业影响因素</w:t>
      </w:r>
    </w:p>
    <w:p>
      <w:pPr>
        <w:pStyle w:val="ListBullet"/>
      </w:pPr>
      <w:r>
        <w:t>行业整体下行</w:t>
      </w:r>
    </w:p>
    <w:p>
      <w:pPr>
        <w:pStyle w:val="ListBullet"/>
      </w:pPr>
      <w:r>
        <w:t>政策变化影响</w:t>
      </w:r>
    </w:p>
    <w:p>
      <w:pPr>
        <w:pStyle w:val="ListBullet"/>
      </w:pPr>
      <w:r>
        <w:t>市场竞争加剧</w:t>
      </w:r>
    </w:p>
    <w:p>
      <w:pPr>
        <w:pStyle w:val="ListBullet"/>
      </w:pPr>
      <w:r>
        <w:t>原材料价格上涨</w:t>
      </w:r>
    </w:p>
    <w:p>
      <w:r>
        <w:br w:type="page"/>
      </w:r>
    </w:p>
    <w:p>
      <w:r>
        <w:rPr>
          <w:b/>
        </w:rPr>
        <w:t>第三章 挽回建议</w:t>
      </w:r>
    </w:p>
    <w:p>
      <w:r>
        <w:rPr>
          <w:b/>
        </w:rPr>
        <w:t>3.1 高风险客户：一对一拜访计划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FFCCCC"/>
          </w:tcPr>
          <w:p>
            <w:r>
              <w:t>客户名称</w:t>
            </w:r>
          </w:p>
        </w:tc>
        <w:tc>
          <w:tcPr>
            <w:tcW w:type="dxa" w:w="2196"/>
            <w:shd w:fill="FFCCCC"/>
          </w:tcPr>
          <w:p>
            <w:r>
              <w:t>拜访计划</w:t>
            </w:r>
          </w:p>
        </w:tc>
        <w:tc>
          <w:tcPr>
            <w:tcW w:type="dxa" w:w="2196"/>
            <w:shd w:fill="FFCCCC"/>
          </w:tcPr>
          <w:p>
            <w:r>
              <w:t>负责人</w:t>
            </w:r>
          </w:p>
        </w:tc>
        <w:tc>
          <w:tcPr>
            <w:tcW w:type="dxa" w:w="2196"/>
            <w:shd w:fill="FFCCCC"/>
          </w:tcPr>
          <w:p>
            <w:r>
              <w:t>预计挽回概率</w:t>
            </w:r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</w:tbl>
    <w:p/>
    <w:p>
      <w:r>
        <w:rPr>
          <w:b/>
        </w:rPr>
        <w:t>3.2 中风险客户：主动关怀计划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FFE0CC"/>
          </w:tcPr>
          <w:p>
            <w:r>
              <w:t>客户名称</w:t>
            </w:r>
          </w:p>
        </w:tc>
        <w:tc>
          <w:tcPr>
            <w:tcW w:type="dxa" w:w="2928"/>
            <w:shd w:fill="FFE0CC"/>
          </w:tcPr>
          <w:p>
            <w:r>
              <w:t>关怀措施</w:t>
            </w:r>
          </w:p>
        </w:tc>
        <w:tc>
          <w:tcPr>
            <w:tcW w:type="dxa" w:w="2928"/>
            <w:shd w:fill="FFE0CC"/>
          </w:tcPr>
          <w:p>
            <w:r>
              <w:t>执行时间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</w:tbl>
    <w:p/>
    <w:p>
      <w:r>
        <w:rPr>
          <w:b/>
        </w:rPr>
        <w:t>3.3 一般客户：标准化服务升级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服务升级措施</w:t>
            </w:r>
          </w:p>
        </w:tc>
        <w:tc>
          <w:tcPr>
            <w:tcW w:type="dxa" w:w="4392"/>
            <w:shd w:fill="E8E8E8"/>
          </w:tcPr>
          <w:p>
            <w:r>
              <w:t>说明</w:t>
            </w:r>
          </w:p>
        </w:tc>
      </w:tr>
      <w:tr>
        <w:tc>
          <w:tcPr>
            <w:tcW w:type="dxa" w:w="4392"/>
          </w:tcPr>
          <w:p>
            <w:r>
              <w:t>定期回访</w:t>
            </w:r>
          </w:p>
        </w:tc>
        <w:tc>
          <w:tcPr>
            <w:tcW w:type="dxa" w:w="4392"/>
          </w:tcPr>
          <w:p>
            <w:r>
              <w:t>每月主动联系一次</w:t>
            </w:r>
          </w:p>
        </w:tc>
      </w:tr>
      <w:tr>
        <w:tc>
          <w:tcPr>
            <w:tcW w:type="dxa" w:w="4392"/>
          </w:tcPr>
          <w:p>
            <w:r>
              <w:t>增值服务赠送</w:t>
            </w:r>
          </w:p>
        </w:tc>
        <w:tc>
          <w:tcPr>
            <w:tcW w:type="dxa" w:w="4392"/>
          </w:tcPr>
          <w:p>
            <w:r>
              <w:t>提供免费税务健康诊断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