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52"/>
        </w:rPr>
        <w:t>税务风险预警报告</w:t>
      </w:r>
    </w:p>
    <w:p>
      <w:pPr>
        <w:jc w:val="center"/>
      </w:pPr>
      <w:r>
        <w:rPr>
          <w:rFonts w:ascii="微软雅黑" w:hAnsi="微软雅黑" w:eastAsia="微软雅黑"/>
          <w:sz w:val="32"/>
        </w:rPr>
        <w:t>（XXXX年XX月）</w:t>
      </w:r>
    </w:p>
    <w:p/>
    <w:p/>
    <w:p>
      <w:pPr>
        <w:jc w:val="center"/>
      </w:pPr>
      <w:r>
        <w:rPr>
          <w:sz w:val="24"/>
        </w:rPr>
        <w:t>报告编号：TAX-RISK-XXXX-XXXX</w:t>
        <w:br/>
      </w:r>
      <w:r>
        <w:rPr>
          <w:sz w:val="24"/>
        </w:rPr>
        <w:t>编制日期：XXXX年XX月XX日</w:t>
        <w:br/>
      </w:r>
      <w:r>
        <w:rPr>
          <w:sz w:val="24"/>
        </w:rPr>
        <w:t>编制部门：风险监控部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执行摘要</w:t>
      </w:r>
    </w:p>
    <w:p>
      <w:r>
        <w:rPr>
          <w:b/>
          <w:sz w:val="24"/>
        </w:rPr>
        <w:t>一、风险概览（红/橙/黄/绿客户分布）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风险等级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客户数量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占比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环比变化</w:t>
            </w:r>
          </w:p>
        </w:tc>
      </w:tr>
      <w:tr>
        <w:tc>
          <w:tcPr>
            <w:tcW w:type="dxa" w:w="2160"/>
            <w:shd w:fill="FFE0E0"/>
          </w:tcPr>
          <w:p>
            <w:pPr>
              <w:jc w:val="center"/>
            </w:pPr>
            <w:r>
              <w:t>红色（高风险）</w:t>
            </w:r>
          </w:p>
        </w:tc>
        <w:tc>
          <w:tcPr>
            <w:tcW w:type="dxa" w:w="2160"/>
            <w:shd w:fill="FFE0E0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160"/>
            <w:shd w:fill="FFE0E0"/>
          </w:tcPr>
          <w:p>
            <w:pPr>
              <w:jc w:val="center"/>
            </w:pPr>
            <w:r>
              <w:t>X%</w:t>
            </w:r>
          </w:p>
        </w:tc>
        <w:tc>
          <w:tcPr>
            <w:tcW w:type="dxa" w:w="2160"/>
            <w:shd w:fill="FFE0E0"/>
          </w:tcPr>
          <w:p>
            <w:pPr>
              <w:jc w:val="center"/>
            </w:pPr>
            <w:r>
              <w:t>↑/↓X%</w:t>
            </w:r>
          </w:p>
        </w:tc>
      </w:tr>
      <w:tr>
        <w:tc>
          <w:tcPr>
            <w:tcW w:type="dxa" w:w="2160"/>
            <w:shd w:fill="FFE8CC"/>
          </w:tcPr>
          <w:p>
            <w:pPr>
              <w:jc w:val="center"/>
            </w:pPr>
            <w:r>
              <w:t>橙色（中风险）</w:t>
            </w:r>
          </w:p>
        </w:tc>
        <w:tc>
          <w:tcPr>
            <w:tcW w:type="dxa" w:w="2160"/>
            <w:shd w:fill="FFE8CC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160"/>
            <w:shd w:fill="FFE8CC"/>
          </w:tcPr>
          <w:p>
            <w:pPr>
              <w:jc w:val="center"/>
            </w:pPr>
            <w:r>
              <w:t>X%</w:t>
            </w:r>
          </w:p>
        </w:tc>
        <w:tc>
          <w:tcPr>
            <w:tcW w:type="dxa" w:w="2160"/>
            <w:shd w:fill="FFE8CC"/>
          </w:tcPr>
          <w:p>
            <w:pPr>
              <w:jc w:val="center"/>
            </w:pPr>
            <w:r>
              <w:t>↑/↓X%</w:t>
            </w:r>
          </w:p>
        </w:tc>
      </w:tr>
      <w:tr>
        <w:tc>
          <w:tcPr>
            <w:tcW w:type="dxa" w:w="2160"/>
            <w:shd w:fill="FFFFCC"/>
          </w:tcPr>
          <w:p>
            <w:pPr>
              <w:jc w:val="center"/>
            </w:pPr>
            <w:r>
              <w:t>黄色（低风险）</w:t>
            </w:r>
          </w:p>
        </w:tc>
        <w:tc>
          <w:tcPr>
            <w:tcW w:type="dxa" w:w="2160"/>
            <w:shd w:fill="FFFFCC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160"/>
            <w:shd w:fill="FFFFCC"/>
          </w:tcPr>
          <w:p>
            <w:pPr>
              <w:jc w:val="center"/>
            </w:pPr>
            <w:r>
              <w:t>X%</w:t>
            </w:r>
          </w:p>
        </w:tc>
        <w:tc>
          <w:tcPr>
            <w:tcW w:type="dxa" w:w="2160"/>
            <w:shd w:fill="FFFFCC"/>
          </w:tcPr>
          <w:p>
            <w:pPr>
              <w:jc w:val="center"/>
            </w:pPr>
            <w:r>
              <w:t>↑/↓X%</w:t>
            </w:r>
          </w:p>
        </w:tc>
      </w:tr>
      <w:tr>
        <w:tc>
          <w:tcPr>
            <w:tcW w:type="dxa" w:w="2160"/>
            <w:shd w:fill="E0FFE0"/>
          </w:tcPr>
          <w:p>
            <w:pPr>
              <w:jc w:val="center"/>
            </w:pPr>
            <w:r>
              <w:t>绿色（正常）</w:t>
            </w:r>
          </w:p>
        </w:tc>
        <w:tc>
          <w:tcPr>
            <w:tcW w:type="dxa" w:w="2160"/>
            <w:shd w:fill="E0FFE0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160"/>
            <w:shd w:fill="E0FFE0"/>
          </w:tcPr>
          <w:p>
            <w:pPr>
              <w:jc w:val="center"/>
            </w:pPr>
            <w:r>
              <w:t>X%</w:t>
            </w:r>
          </w:p>
        </w:tc>
        <w:tc>
          <w:tcPr>
            <w:tcW w:type="dxa" w:w="2160"/>
            <w:shd w:fill="E0FFE0"/>
          </w:tcPr>
          <w:p>
            <w:pPr>
              <w:jc w:val="center"/>
            </w:pPr>
            <w:r>
              <w:t>↑/↓X%</w:t>
            </w:r>
          </w:p>
        </w:tc>
      </w:tr>
    </w:tbl>
    <w:p/>
    <w:p>
      <w:r>
        <w:rPr>
          <w:b/>
          <w:sz w:val="24"/>
        </w:rPr>
        <w:t>二、本月新增重大风险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风险类型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风险等级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处理状态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示例内容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示例内容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示例内容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第一章  税务风险预警报告</w:t>
      </w:r>
    </w:p>
    <w:p>
      <w:pPr>
        <w:pStyle w:val="Heading2"/>
      </w:pPr>
      <w:r>
        <w:rPr>
          <w:rFonts w:ascii="微软雅黑" w:hAnsi="微软雅黑" w:eastAsia="微软雅黑"/>
        </w:rPr>
        <w:t>1.1 税负率异常客户清单</w:t>
      </w:r>
    </w:p>
    <w:p>
      <w:r>
        <w:t>本节列出税负率偏离行业均值超过30%的客户清单，详细分析其税负率异常的原因及潜在风险。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行业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实际税负率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行业均值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偏离度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客户A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商贸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-60%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客户A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商贸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-60%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客户A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商贸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-60%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客户A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商贸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-60%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客户A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商贸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-60%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发票合规性预警</w:t>
      </w:r>
    </w:p>
    <w:p>
      <w:r>
        <w:t>本节列出发票使用存在异常的的客户，包括作废发票占比过高、红字发票频繁、异常金额发票等情况。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异常类型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具体情况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风险等级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客户B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作废发票占比高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作废率8.5%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橙色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客户B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作废发票占比高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作废率8.5%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橙色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客户B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作废发票占比高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作废率8.5%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橙色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客户B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作废发票占比高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作废率8.5%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橙色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1.3 申报及时性预警</w:t>
      </w:r>
    </w:p>
    <w:p>
      <w:r>
        <w:t>本节列出申报存在逾期的的客户，包括增值税、企业所得税、个人所得税等税种的逾期情况。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逾期税种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逾期次数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连续逾期月数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客户C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增值税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1个月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客户C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增值税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1个月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客户C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增值税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1个月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客户C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增值税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1个月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1.4 优惠备案预警</w:t>
      </w:r>
    </w:p>
    <w:p>
      <w:r>
        <w:t>本节列出优惠备案存在问题的客户，包括备案过期、备案与实际不符等情况。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优惠类型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问题描述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到期日期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客户D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高新企业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证书即将到期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XXXX-XX-XX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客户D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高新企业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证书即将到期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XXXX-XX-XX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客户D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高新企业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证书即将到期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XXXX-XX-XX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客户D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高新企业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证书即将到期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XXXX-XX-XX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第二章  风险趋势分析</w:t>
      </w:r>
    </w:p>
    <w:p>
      <w:pPr>
        <w:pStyle w:val="Heading2"/>
      </w:pPr>
      <w:r>
        <w:rPr>
          <w:rFonts w:ascii="微软雅黑" w:hAnsi="微软雅黑" w:eastAsia="微软雅黑"/>
        </w:rPr>
        <w:t>2.1 行业税负率走势</w:t>
      </w:r>
    </w:p>
    <w:p>
      <w:r>
        <w:t>本节分析主要行业的税负率走势变化，帮助识别系统性风险。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行业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上月均值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本月均值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变化幅度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预警家数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趋势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商贸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商贸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商贸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商贸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商贸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↓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风险转化追踪</w:t>
      </w:r>
    </w:p>
    <w:p>
      <w:r>
        <w:t>本节追踪客户风险等级的变化情况，记录风险升降级情况。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上月等级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本月等级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变化原因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变化日期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客户E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黄色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橙色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税负率持续走低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XXXX-XX-XX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客户E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黄色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橙色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税负率持续走低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XXXX-XX-XX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客户E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黄色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橙色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税负率持续走低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XXXX-XX-XX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客户E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黄色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橙色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税负率持续走低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XXXX-XX-XX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客户E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黄色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橙色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税负率持续走低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XXXX-XX-XX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第三章  处理建议</w:t>
      </w:r>
    </w:p>
    <w:p>
      <w:r>
        <w:t>本章针对各类风险提供具体的处理建议和操作方案。</w:t>
      </w:r>
    </w:p>
    <w:p>
      <w:pPr>
        <w:pStyle w:val="Heading2"/>
      </w:pPr>
      <w:r>
        <w:rPr>
          <w:rFonts w:ascii="微软雅黑" w:hAnsi="微软雅黑" w:eastAsia="微软雅黑"/>
        </w:rPr>
        <w:t>3.1 红色风险客户处理方案</w:t>
      </w:r>
    </w:p>
    <w:p>
      <w:r>
        <w:rPr>
          <w:b/>
          <w:sz w:val="24"/>
        </w:rPr>
        <w:t>客户X - 风险问题及处理方案</w:t>
      </w:r>
    </w:p>
    <w:p>
      <w:r>
        <w:t>风险描述：</w:t>
      </w:r>
      <w:r>
        <w:t>[详细描述风险内容]</w:t>
      </w:r>
    </w:p>
    <w:p>
      <w:r>
        <w:t>依据条款：</w:t>
      </w:r>
      <w:r>
        <w:t>[引用相关法规依据]</w:t>
      </w:r>
    </w:p>
    <w:p>
      <w:r>
        <w:t>处理建议：</w:t>
      </w:r>
      <w:r>
        <w:t>[具体的操作指导]</w:t>
      </w:r>
    </w:p>
    <w:p>
      <w:r>
        <w:t>处理时限：</w:t>
      </w:r>
      <w:r>
        <w:t>[立即处理/24小时内/本期结束前]</w:t>
      </w:r>
    </w:p>
    <w:p/>
    <w:p>
      <w:r>
        <w:rPr>
          <w:b/>
          <w:sz w:val="24"/>
        </w:rPr>
        <w:t>客户X - 风险问题及处理方案</w:t>
      </w:r>
    </w:p>
    <w:p>
      <w:r>
        <w:t>风险描述：</w:t>
      </w:r>
      <w:r>
        <w:t>[详细描述风险内容]</w:t>
      </w:r>
    </w:p>
    <w:p>
      <w:r>
        <w:t>依据条款：</w:t>
      </w:r>
      <w:r>
        <w:t>[引用相关法规依据]</w:t>
      </w:r>
    </w:p>
    <w:p>
      <w:r>
        <w:t>处理建议：</w:t>
      </w:r>
      <w:r>
        <w:t>[具体的操作指导]</w:t>
      </w:r>
    </w:p>
    <w:p>
      <w:r>
        <w:t>处理时限：</w:t>
      </w:r>
      <w:r>
        <w:t>[立即处理/24小时内/本期结束前]</w:t>
      </w:r>
    </w:p>
    <w:p/>
    <w:p>
      <w:pPr>
        <w:pStyle w:val="Heading2"/>
      </w:pPr>
      <w:r>
        <w:rPr>
          <w:rFonts w:ascii="微软雅黑" w:hAnsi="微软雅黑" w:eastAsia="微软雅黑"/>
        </w:rPr>
        <w:t>3.2 橙色风险客户处理方案</w:t>
      </w:r>
    </w:p>
    <w:p>
      <w:r>
        <w:rPr>
          <w:b/>
          <w:sz w:val="24"/>
        </w:rPr>
        <w:t>客户Y - 风险问题及处理方案</w:t>
      </w:r>
    </w:p>
    <w:p>
      <w:r>
        <w:t>风险描述：</w:t>
      </w:r>
      <w:r>
        <w:t>[详细描述风险内容]</w:t>
      </w:r>
    </w:p>
    <w:p>
      <w:r>
        <w:t>处理建议：</w:t>
      </w:r>
      <w:r>
        <w:t>[具体的操作指导]</w:t>
      </w:r>
    </w:p>
    <w:p/>
    <w:p>
      <w:r>
        <w:rPr>
          <w:b/>
          <w:sz w:val="24"/>
        </w:rPr>
        <w:t>客户Y - 风险问题及处理方案</w:t>
      </w:r>
    </w:p>
    <w:p>
      <w:r>
        <w:t>风险描述：</w:t>
      </w:r>
      <w:r>
        <w:t>[详细描述风险内容]</w:t>
      </w:r>
    </w:p>
    <w:p>
      <w:r>
        <w:t>处理建议：</w:t>
      </w:r>
      <w:r>
        <w:t>[具体的操作指导]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