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11AD6">
      <w:pPr>
        <w:pStyle w:val="6"/>
        <w:rPr>
          <w:rFonts w:hint="eastAsia"/>
        </w:rPr>
      </w:pPr>
      <w:bookmarkStart w:id="0" w:name="_GoBack"/>
      <w:bookmarkEnd w:id="0"/>
      <w:r>
        <w:rPr>
          <w:rFonts w:hint="eastAsia"/>
          <w:lang w:val="en-US" w:eastAsia="zh-CN"/>
        </w:rPr>
        <w:t>陕西金额集团有限公司</w:t>
      </w:r>
      <w:r>
        <w:rPr>
          <w:rFonts w:hint="eastAsia"/>
        </w:rPr>
        <w:t>拟转让所持有的</w:t>
      </w:r>
    </w:p>
    <w:p w14:paraId="003B9A29">
      <w:pPr>
        <w:pStyle w:val="6"/>
        <w:rPr>
          <w:rFonts w:hint="eastAsia"/>
        </w:rPr>
      </w:pPr>
      <w:r>
        <w:rPr>
          <w:rFonts w:hint="eastAsia"/>
          <w:lang w:eastAsia="zh-CN"/>
        </w:rPr>
        <w:t>西安金融有限公司</w:t>
      </w:r>
      <w:r>
        <w:rPr>
          <w:rFonts w:hint="eastAsia"/>
        </w:rPr>
        <w:t>股权所涉及的</w:t>
      </w:r>
    </w:p>
    <w:p w14:paraId="5902D679">
      <w:pPr>
        <w:pStyle w:val="6"/>
        <w:rPr>
          <w:rFonts w:hint="eastAsia" w:eastAsia="黑体"/>
          <w:lang w:eastAsia="zh-CN"/>
        </w:rPr>
      </w:pPr>
      <w:r>
        <w:rPr>
          <w:rFonts w:hint="eastAsia"/>
          <w:lang w:eastAsia="zh-CN"/>
        </w:rPr>
        <w:t>西安金融有限公司</w:t>
      </w:r>
    </w:p>
    <w:p w14:paraId="636DC2AE">
      <w:pPr>
        <w:pStyle w:val="6"/>
        <w:rPr>
          <w:rFonts w:hint="eastAsia"/>
        </w:rPr>
      </w:pPr>
      <w:r>
        <w:rPr>
          <w:rFonts w:hint="eastAsia"/>
        </w:rPr>
        <w:t>股东全部权益价值评估项目</w:t>
      </w:r>
    </w:p>
    <w:p w14:paraId="04D27763">
      <w:pPr>
        <w:pStyle w:val="6"/>
        <w:rPr>
          <w:rFonts w:hint="eastAsia" w:cs="Times New Roman"/>
          <w:b/>
          <w:bCs/>
        </w:rPr>
      </w:pPr>
      <w:r>
        <w:t>审核意见</w:t>
      </w:r>
    </w:p>
    <w:p w14:paraId="193AD334">
      <w:pPr>
        <w:adjustRightInd w:val="0"/>
        <w:snapToGrid w:val="0"/>
        <w:spacing w:line="360" w:lineRule="auto"/>
        <w:jc w:val="center"/>
        <w:rPr>
          <w:szCs w:val="24"/>
        </w:rPr>
      </w:pPr>
      <w:r>
        <w:rPr>
          <w:color w:val="000000"/>
          <w:sz w:val="28"/>
          <w:szCs w:val="28"/>
        </w:rPr>
        <w:t>天兴评报字</w:t>
      </w:r>
      <w:r>
        <w:rPr>
          <w:rFonts w:hint="eastAsia"/>
          <w:color w:val="000000"/>
          <w:sz w:val="28"/>
          <w:szCs w:val="28"/>
        </w:rPr>
        <w:t>[</w:t>
      </w:r>
      <w:r>
        <w:rPr>
          <w:color w:val="000000"/>
          <w:sz w:val="28"/>
          <w:szCs w:val="28"/>
        </w:rPr>
        <w:t>2026</w:t>
      </w:r>
      <w:r>
        <w:rPr>
          <w:rFonts w:hint="eastAsia"/>
          <w:color w:val="000000"/>
          <w:sz w:val="28"/>
          <w:szCs w:val="28"/>
        </w:rPr>
        <w:t>]</w:t>
      </w:r>
      <w:r>
        <w:rPr>
          <w:color w:val="000000"/>
          <w:sz w:val="28"/>
          <w:szCs w:val="28"/>
        </w:rPr>
        <w:t>第</w:t>
      </w:r>
      <w:r>
        <w:rPr>
          <w:rFonts w:hint="eastAsia"/>
          <w:color w:val="000000"/>
          <w:sz w:val="28"/>
          <w:szCs w:val="28"/>
          <w:lang w:val="en-US" w:eastAsia="zh-CN"/>
        </w:rPr>
        <w:t>0666</w:t>
      </w:r>
      <w:r>
        <w:rPr>
          <w:rFonts w:hint="eastAsia"/>
          <w:szCs w:val="24"/>
        </w:rPr>
        <w:t>号</w:t>
      </w:r>
    </w:p>
    <w:p w14:paraId="7058F55A">
      <w:pPr>
        <w:pStyle w:val="2"/>
        <w:numPr>
          <w:ilvl w:val="0"/>
          <w:numId w:val="1"/>
        </w:numPr>
        <w:adjustRightInd w:val="0"/>
        <w:snapToGrid w:val="0"/>
        <w:spacing w:before="0" w:after="0" w:line="360" w:lineRule="auto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评估报告</w:t>
      </w:r>
    </w:p>
    <w:p w14:paraId="1FC969AB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“二○二</w:t>
      </w:r>
      <w:r>
        <w:rPr>
          <w:rFonts w:hint="eastAsia" w:ascii="宋体" w:hAnsi="宋体"/>
          <w:sz w:val="28"/>
          <w:szCs w:val="24"/>
          <w:highlight w:val="yellow"/>
          <w:lang w:val="en-US" w:eastAsia="zh-CN"/>
        </w:rPr>
        <w:t>五</w:t>
      </w:r>
      <w:r>
        <w:rPr>
          <w:rFonts w:hint="eastAsia" w:ascii="宋体" w:hAnsi="宋体"/>
          <w:sz w:val="28"/>
          <w:szCs w:val="24"/>
          <w:lang w:val="en-US" w:eastAsia="zh-CN"/>
        </w:rPr>
        <w:t>年九月”报告日年份待更新，日期具体到日。</w:t>
      </w:r>
    </w:p>
    <w:p w14:paraId="75F6AC79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目录页码待更新。</w:t>
      </w:r>
    </w:p>
    <w:p w14:paraId="55218039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P4，“本着独立、客观、公正、</w:t>
      </w:r>
      <w:r>
        <w:rPr>
          <w:rFonts w:hint="eastAsia" w:ascii="宋体" w:hAnsi="宋体"/>
          <w:sz w:val="28"/>
          <w:szCs w:val="24"/>
          <w:highlight w:val="yellow"/>
          <w:lang w:val="en-US" w:eastAsia="zh-CN"/>
        </w:rPr>
        <w:t>科学</w:t>
      </w:r>
      <w:r>
        <w:rPr>
          <w:rFonts w:hint="eastAsia" w:ascii="宋体" w:hAnsi="宋体"/>
          <w:sz w:val="28"/>
          <w:szCs w:val="24"/>
          <w:lang w:val="en-US" w:eastAsia="zh-CN"/>
        </w:rPr>
        <w:t>的原则，采用</w:t>
      </w:r>
      <w:r>
        <w:rPr>
          <w:rFonts w:hint="eastAsia" w:ascii="宋体" w:hAnsi="宋体"/>
          <w:sz w:val="28"/>
          <w:szCs w:val="24"/>
          <w:highlight w:val="yellow"/>
          <w:lang w:val="en-US" w:eastAsia="zh-CN"/>
        </w:rPr>
        <w:t>资产基础法</w:t>
      </w:r>
      <w:r>
        <w:rPr>
          <w:rFonts w:hint="eastAsia" w:ascii="宋体" w:hAnsi="宋体"/>
          <w:sz w:val="28"/>
          <w:szCs w:val="24"/>
          <w:lang w:val="en-US" w:eastAsia="zh-CN"/>
        </w:rPr>
        <w:t>和市场法”①没有科学原则，请删除。②评估方法描述待更新。</w:t>
      </w:r>
    </w:p>
    <w:p w14:paraId="3EBEBF26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P6，跨页表格设置重复标题行，并补全认缴出资、实缴出资信息。</w:t>
      </w:r>
    </w:p>
    <w:p w14:paraId="5AFF3E48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P8，补充审计报告文号。</w:t>
      </w:r>
    </w:p>
    <w:p w14:paraId="41A0B884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P9，补充经济行为依据。</w:t>
      </w:r>
    </w:p>
    <w:p w14:paraId="51A908B3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P10，逐项检查列式的评估依据是否存在更新作废，如公司法2023年存在更新。</w:t>
      </w:r>
    </w:p>
    <w:p w14:paraId="0CE79539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P12，取价依据补充折现率取值专家指引。</w:t>
      </w:r>
    </w:p>
    <w:p w14:paraId="2966EC97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P17，“于</w:t>
      </w:r>
      <w:r>
        <w:rPr>
          <w:rFonts w:hint="eastAsia" w:ascii="宋体" w:hAnsi="宋体"/>
          <w:sz w:val="28"/>
          <w:szCs w:val="24"/>
          <w:highlight w:val="yellow"/>
          <w:lang w:val="en-US" w:eastAsia="zh-CN"/>
        </w:rPr>
        <w:t>2024年3月</w:t>
      </w:r>
      <w:r>
        <w:rPr>
          <w:rFonts w:hint="eastAsia" w:ascii="宋体" w:hAnsi="宋体"/>
          <w:sz w:val="28"/>
          <w:szCs w:val="24"/>
          <w:lang w:val="en-US" w:eastAsia="zh-CN"/>
        </w:rPr>
        <w:t>接受委托人的委托”日期待更新。</w:t>
      </w:r>
    </w:p>
    <w:p w14:paraId="7DE76B88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P20，补充收益法评估假设。</w:t>
      </w:r>
    </w:p>
    <w:p w14:paraId="6AE4CC0B">
      <w:pPr>
        <w:adjustRightInd w:val="0"/>
        <w:snapToGrid w:val="0"/>
        <w:spacing w:line="360" w:lineRule="auto"/>
        <w:rPr>
          <w:szCs w:val="24"/>
        </w:rPr>
      </w:pPr>
    </w:p>
    <w:p w14:paraId="6674B190">
      <w:pPr>
        <w:pStyle w:val="2"/>
        <w:numPr>
          <w:ilvl w:val="0"/>
          <w:numId w:val="1"/>
        </w:numPr>
        <w:adjustRightInd w:val="0"/>
        <w:snapToGrid w:val="0"/>
        <w:spacing w:before="0" w:after="0" w:line="360" w:lineRule="auto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评估说明</w:t>
      </w:r>
    </w:p>
    <w:p w14:paraId="25CCCCFD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涉及报告问题对照调整。</w:t>
      </w:r>
    </w:p>
    <w:p w14:paraId="4036B57B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P4，“截至本次评估基准日，DEF公司未申报表外无形资产。”被评估单位还存在注册商标，请核实。</w:t>
      </w:r>
    </w:p>
    <w:p w14:paraId="144EBB7A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P5，“于</w:t>
      </w:r>
      <w:r>
        <w:rPr>
          <w:rFonts w:hint="eastAsia" w:ascii="宋体" w:hAnsi="宋体"/>
          <w:sz w:val="28"/>
          <w:szCs w:val="24"/>
          <w:highlight w:val="yellow"/>
          <w:lang w:val="en-US" w:eastAsia="zh-CN"/>
        </w:rPr>
        <w:t>2024年3月</w:t>
      </w:r>
      <w:r>
        <w:rPr>
          <w:rFonts w:hint="eastAsia" w:ascii="宋体" w:hAnsi="宋体"/>
          <w:sz w:val="28"/>
          <w:szCs w:val="24"/>
          <w:lang w:val="en-US" w:eastAsia="zh-CN"/>
        </w:rPr>
        <w:t>，对纳入评估范围的资产、负债、经营状况进行了现场了解、调查和核实”日期待更新。</w:t>
      </w:r>
    </w:p>
    <w:p w14:paraId="3C092E10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P6，“银行存款共</w:t>
      </w:r>
      <w:r>
        <w:rPr>
          <w:rFonts w:hint="eastAsia" w:ascii="宋体" w:hAnsi="宋体"/>
          <w:sz w:val="28"/>
          <w:szCs w:val="24"/>
          <w:highlight w:val="yellow"/>
          <w:lang w:val="en-US" w:eastAsia="zh-CN"/>
        </w:rPr>
        <w:t>33</w:t>
      </w:r>
      <w:r>
        <w:rPr>
          <w:rFonts w:hint="eastAsia" w:ascii="宋体" w:hAnsi="宋体"/>
          <w:sz w:val="28"/>
          <w:szCs w:val="24"/>
          <w:lang w:val="en-US" w:eastAsia="zh-CN"/>
        </w:rPr>
        <w:t>个账户”银行账户数量跟实际不符。</w:t>
      </w:r>
    </w:p>
    <w:p w14:paraId="31FF3A4E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P7，“企业账面记载共</w:t>
      </w:r>
      <w:r>
        <w:rPr>
          <w:rFonts w:hint="eastAsia" w:ascii="宋体" w:hAnsi="宋体"/>
          <w:sz w:val="28"/>
          <w:szCs w:val="24"/>
          <w:highlight w:val="yellow"/>
          <w:lang w:val="en-US" w:eastAsia="zh-CN"/>
        </w:rPr>
        <w:t>664</w:t>
      </w:r>
      <w:r>
        <w:rPr>
          <w:rFonts w:hint="eastAsia" w:ascii="宋体" w:hAnsi="宋体"/>
          <w:sz w:val="28"/>
          <w:szCs w:val="24"/>
          <w:lang w:val="en-US" w:eastAsia="zh-CN"/>
        </w:rPr>
        <w:t>项，包括Netsol软件、ERP财务系统等”数据跟申报表数据不一致。</w:t>
      </w:r>
    </w:p>
    <w:p w14:paraId="23EC8950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P7，“使用权资产账面价值为4,527.46万元”数据跟评估明细表信息不一致。</w:t>
      </w:r>
    </w:p>
    <w:p w14:paraId="58B4B05F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P22，“综合考虑上述因素，我们将本次评估中的个别风险报酬率确定为1%。”1个点的个别风险是否偏低。</w:t>
      </w:r>
    </w:p>
    <w:p w14:paraId="2BEF575F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P34，重庆蚂蚁消费金融有限公司核心主营业务为发放个人消费贷款，运营大家熟知的花呗、借呗两大消费信贷产品，跟被评估单位业务差异较大。</w:t>
      </w:r>
    </w:p>
    <w:p w14:paraId="2B7AEB9F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P38，逐项检查因素修正，如业务规模修股本为何不修收入规模，成长性为什么不修正收入增长率。</w:t>
      </w:r>
    </w:p>
    <w:p w14:paraId="1FEA0FD8">
      <w:pPr>
        <w:pStyle w:val="2"/>
        <w:numPr>
          <w:ilvl w:val="0"/>
          <w:numId w:val="1"/>
        </w:numPr>
        <w:adjustRightInd w:val="0"/>
        <w:snapToGrid w:val="0"/>
        <w:spacing w:before="0" w:after="0" w:line="360" w:lineRule="auto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评估明细表及测算表</w:t>
      </w:r>
    </w:p>
    <w:p w14:paraId="716EA3D0">
      <w:pPr>
        <w:pStyle w:val="2"/>
        <w:adjustRightInd w:val="0"/>
        <w:snapToGrid w:val="0"/>
        <w:spacing w:before="0" w:after="0" w:line="360" w:lineRule="auto"/>
        <w:ind w:left="42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（一）收益法评估明细表</w:t>
      </w:r>
    </w:p>
    <w:p w14:paraId="3C8F544E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营业收入：历史年度收入持续下滑，预测期基于什么原因收入转为增长，且增长越来越快。</w:t>
      </w:r>
    </w:p>
    <w:p w14:paraId="74913D18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贷款历史数据</w:t>
      </w:r>
      <w:r>
        <w:rPr>
          <w:rFonts w:hint="eastAsia" w:ascii="宋体" w:hAnsi="宋体"/>
          <w:sz w:val="28"/>
          <w:szCs w:val="24"/>
          <w:lang w:eastAsia="zh-CN"/>
        </w:rPr>
        <w:t>：</w:t>
      </w:r>
      <w:r>
        <w:rPr>
          <w:rFonts w:hint="eastAsia" w:ascii="宋体" w:hAnsi="宋体"/>
          <w:sz w:val="28"/>
          <w:szCs w:val="24"/>
          <w:lang w:val="en-US" w:eastAsia="zh-CN"/>
        </w:rPr>
        <w:t>贷款利息收入增长率逐年下滑趋势，采用历史4年半均值依据是什么。</w:t>
      </w:r>
    </w:p>
    <w:p w14:paraId="555DCD6F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企业所得税</w:t>
      </w:r>
      <w:r>
        <w:rPr>
          <w:rFonts w:hint="eastAsia" w:ascii="宋体" w:hAnsi="宋体"/>
          <w:sz w:val="28"/>
          <w:szCs w:val="24"/>
          <w:lang w:eastAsia="zh-CN"/>
        </w:rPr>
        <w:t>：</w:t>
      </w:r>
      <w:r>
        <w:rPr>
          <w:rFonts w:hint="eastAsia" w:ascii="宋体" w:hAnsi="宋体"/>
          <w:sz w:val="28"/>
          <w:szCs w:val="24"/>
          <w:lang w:val="en-US" w:eastAsia="zh-CN"/>
        </w:rPr>
        <w:t>业务招待费测算不对，请核实。</w:t>
      </w:r>
    </w:p>
    <w:p w14:paraId="6A4B7447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</w:rPr>
        <w:t>营运资金</w:t>
      </w:r>
      <w:r>
        <w:rPr>
          <w:rFonts w:hint="eastAsia" w:ascii="宋体" w:hAnsi="宋体"/>
          <w:sz w:val="28"/>
          <w:szCs w:val="24"/>
          <w:lang w:eastAsia="zh-CN"/>
        </w:rPr>
        <w:t>：</w:t>
      </w:r>
      <w:r>
        <w:rPr>
          <w:rFonts w:hint="eastAsia" w:ascii="宋体" w:hAnsi="宋体"/>
          <w:sz w:val="28"/>
          <w:szCs w:val="24"/>
          <w:lang w:val="en-US" w:eastAsia="zh-CN"/>
        </w:rPr>
        <w:t>逐项检查周转率取值，如付现成本为什么按贷款规模乘以0.3，应交税费全部按1个月周转是否跟实际相符。</w:t>
      </w:r>
    </w:p>
    <w:p w14:paraId="1F7FB79C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财务费用：企业规模持续扩大，自有资金是否够用，是否漏算外部借款。</w:t>
      </w:r>
    </w:p>
    <w:p w14:paraId="39F85DEE">
      <w:pPr>
        <w:pStyle w:val="2"/>
        <w:adjustRightInd w:val="0"/>
        <w:snapToGrid w:val="0"/>
        <w:spacing w:before="0" w:after="0" w:line="360" w:lineRule="auto"/>
        <w:ind w:left="42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（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二</w:t>
      </w:r>
      <w:r>
        <w:rPr>
          <w:rFonts w:hint="eastAsia" w:ascii="黑体" w:hAnsi="黑体" w:eastAsia="黑体"/>
          <w:sz w:val="32"/>
          <w:szCs w:val="32"/>
        </w:rPr>
        <w:t>）市场法评估明细表</w:t>
      </w:r>
    </w:p>
    <w:p w14:paraId="5C20C0E1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补充可比案例选取过程。</w:t>
      </w:r>
    </w:p>
    <w:p w14:paraId="083858FE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营运能力、偿债能力漏修正。</w:t>
      </w:r>
    </w:p>
    <w:p w14:paraId="65A0E889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系数修正表：各因素修正步距设置是否合理，如净利润率复合增长率差异数倍，修正差异3个点，反而规模修正差异20个点。</w:t>
      </w:r>
    </w:p>
    <w:p w14:paraId="3B769E46">
      <w:pPr>
        <w:pStyle w:val="10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8"/>
          <w:szCs w:val="24"/>
        </w:rPr>
      </w:pPr>
      <w:r>
        <w:rPr>
          <w:rFonts w:hint="eastAsia" w:ascii="宋体" w:hAnsi="宋体"/>
          <w:sz w:val="28"/>
          <w:szCs w:val="24"/>
          <w:lang w:val="en-US" w:eastAsia="zh-CN"/>
        </w:rPr>
        <w:t>部分数据没有过程，如外贸金租资产复合增速。</w:t>
      </w:r>
    </w:p>
    <w:p w14:paraId="1E9CFBB6">
      <w:pPr>
        <w:adjustRightInd w:val="0"/>
        <w:snapToGrid w:val="0"/>
        <w:spacing w:line="360" w:lineRule="auto"/>
        <w:rPr>
          <w:szCs w:val="24"/>
        </w:rPr>
      </w:pPr>
    </w:p>
    <w:p w14:paraId="077146DE">
      <w:pPr>
        <w:adjustRightInd w:val="0"/>
        <w:snapToGrid w:val="0"/>
        <w:spacing w:line="360" w:lineRule="auto"/>
        <w:ind w:firstLine="4320" w:firstLineChars="1800"/>
        <w:rPr>
          <w:szCs w:val="24"/>
        </w:rPr>
      </w:pPr>
    </w:p>
    <w:p w14:paraId="1FB86CA5">
      <w:pPr>
        <w:adjustRightInd w:val="0"/>
        <w:snapToGrid w:val="0"/>
        <w:spacing w:line="360" w:lineRule="auto"/>
        <w:ind w:leftChars="-59" w:hanging="141" w:hangingChars="59"/>
        <w:jc w:val="left"/>
        <w:rPr>
          <w:szCs w:val="24"/>
        </w:rPr>
      </w:pPr>
      <w:r>
        <w:rPr>
          <w:rFonts w:hint="eastAsia"/>
          <w:szCs w:val="24"/>
        </w:rPr>
        <w:t>审核人：</w:t>
      </w:r>
      <w:r>
        <w:rPr>
          <w:szCs w:val="24"/>
        </w:rPr>
        <w:t xml:space="preserve"> </w:t>
      </w:r>
    </w:p>
    <w:p w14:paraId="012CC00D">
      <w:pPr>
        <w:pStyle w:val="3"/>
        <w:tabs>
          <w:tab w:val="left" w:pos="567"/>
          <w:tab w:val="left" w:pos="1134"/>
          <w:tab w:val="left" w:pos="1276"/>
        </w:tabs>
        <w:snapToGrid w:val="0"/>
        <w:spacing w:before="0" w:after="0" w:line="360" w:lineRule="auto"/>
        <w:ind w:leftChars="-59" w:hanging="141" w:hangingChars="59"/>
        <w:jc w:val="left"/>
      </w:pPr>
      <w:r>
        <w:rPr>
          <w:rFonts w:hint="eastAsia"/>
        </w:rPr>
        <w:t>日期：202</w:t>
      </w:r>
      <w:r>
        <w:t>6</w:t>
      </w:r>
      <w:r>
        <w:rPr>
          <w:rFonts w:hint="eastAsia"/>
        </w:rPr>
        <w:t>年</w:t>
      </w:r>
      <w:r>
        <w:t xml:space="preserve">  </w:t>
      </w:r>
      <w:r>
        <w:rPr>
          <w:rFonts w:hint="eastAsia"/>
        </w:rPr>
        <w:t>月</w:t>
      </w:r>
      <w:r>
        <w:t xml:space="preserve">   </w:t>
      </w:r>
      <w:r>
        <w:rPr>
          <w:rFonts w:hint="eastAsia"/>
        </w:rPr>
        <w:t>日</w:t>
      </w:r>
    </w:p>
    <w:p w14:paraId="2CD0587D"/>
    <w:p w14:paraId="4FDF7BDE">
      <w:pPr>
        <w:adjustRightInd w:val="0"/>
        <w:snapToGrid w:val="0"/>
        <w:spacing w:line="360" w:lineRule="auto"/>
        <w:ind w:leftChars="-59" w:hanging="141" w:hangingChars="59"/>
        <w:jc w:val="left"/>
        <w:rPr>
          <w:szCs w:val="24"/>
        </w:rPr>
      </w:pPr>
    </w:p>
    <w:p w14:paraId="4B9FCB6D">
      <w:pPr>
        <w:adjustRightInd w:val="0"/>
        <w:snapToGrid w:val="0"/>
        <w:spacing w:line="360" w:lineRule="auto"/>
        <w:ind w:leftChars="-59" w:hanging="141" w:hangingChars="59"/>
        <w:jc w:val="left"/>
        <w:rPr>
          <w:szCs w:val="24"/>
        </w:rPr>
      </w:pPr>
      <w:r>
        <w:rPr>
          <w:rFonts w:hint="eastAsia"/>
          <w:szCs w:val="24"/>
        </w:rPr>
        <w:t>答复人：</w:t>
      </w:r>
      <w:r>
        <w:rPr>
          <w:szCs w:val="24"/>
        </w:rPr>
        <w:t xml:space="preserve"> </w:t>
      </w:r>
    </w:p>
    <w:p w14:paraId="4C4BF99A">
      <w:pPr>
        <w:pStyle w:val="3"/>
        <w:tabs>
          <w:tab w:val="left" w:pos="567"/>
          <w:tab w:val="left" w:pos="1134"/>
          <w:tab w:val="left" w:pos="1276"/>
        </w:tabs>
        <w:snapToGrid w:val="0"/>
        <w:spacing w:before="0" w:after="0" w:line="360" w:lineRule="auto"/>
        <w:ind w:leftChars="-59" w:hanging="141" w:hangingChars="59"/>
        <w:jc w:val="left"/>
      </w:pPr>
      <w:r>
        <w:rPr>
          <w:rFonts w:hint="eastAsia"/>
        </w:rPr>
        <w:t>日期：202</w:t>
      </w:r>
      <w:r>
        <w:t>6</w:t>
      </w:r>
      <w:r>
        <w:rPr>
          <w:rFonts w:hint="eastAsia"/>
        </w:rPr>
        <w:t>年</w:t>
      </w:r>
      <w:r>
        <w:t xml:space="preserve">  </w:t>
      </w:r>
      <w:r>
        <w:rPr>
          <w:rFonts w:hint="eastAsia"/>
        </w:rPr>
        <w:t>月</w:t>
      </w:r>
      <w:r>
        <w:t xml:space="preserve">   </w:t>
      </w:r>
      <w:r>
        <w:rPr>
          <w:rFonts w:hint="eastAsia"/>
        </w:rPr>
        <w:t>日</w:t>
      </w:r>
    </w:p>
    <w:p w14:paraId="19B35D1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BB4D7F"/>
    <w:multiLevelType w:val="multilevel"/>
    <w:tmpl w:val="42BB4D7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EBC55E0"/>
    <w:multiLevelType w:val="multilevel"/>
    <w:tmpl w:val="4EBC55E0"/>
    <w:lvl w:ilvl="0" w:tentative="0">
      <w:start w:val="1"/>
      <w:numFmt w:val="chineseCounting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FFF"/>
    <w:rsid w:val="00044A4D"/>
    <w:rsid w:val="00134CC3"/>
    <w:rsid w:val="00262D12"/>
    <w:rsid w:val="00293A76"/>
    <w:rsid w:val="003254CE"/>
    <w:rsid w:val="00330A4D"/>
    <w:rsid w:val="003F435C"/>
    <w:rsid w:val="00406963"/>
    <w:rsid w:val="004802B5"/>
    <w:rsid w:val="004A10E4"/>
    <w:rsid w:val="004A4C87"/>
    <w:rsid w:val="004D0F9F"/>
    <w:rsid w:val="005B3409"/>
    <w:rsid w:val="00602309"/>
    <w:rsid w:val="00741C9D"/>
    <w:rsid w:val="007A55E5"/>
    <w:rsid w:val="00832FFF"/>
    <w:rsid w:val="00851EB0"/>
    <w:rsid w:val="008A7F97"/>
    <w:rsid w:val="00990C37"/>
    <w:rsid w:val="00A01B81"/>
    <w:rsid w:val="00A32D06"/>
    <w:rsid w:val="00AF659A"/>
    <w:rsid w:val="00B15F73"/>
    <w:rsid w:val="00BB07E7"/>
    <w:rsid w:val="00D102AA"/>
    <w:rsid w:val="00D555B0"/>
    <w:rsid w:val="00E33B05"/>
    <w:rsid w:val="00ED2812"/>
    <w:rsid w:val="00F3748E"/>
    <w:rsid w:val="05470CDF"/>
    <w:rsid w:val="167E7B54"/>
    <w:rsid w:val="31012708"/>
    <w:rsid w:val="37A23D48"/>
    <w:rsid w:val="3ECF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0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link w:val="9"/>
    <w:autoRedefine/>
    <w:qFormat/>
    <w:uiPriority w:val="0"/>
    <w:pPr>
      <w:adjustRightInd w:val="0"/>
      <w:spacing w:before="60" w:after="60" w:line="312" w:lineRule="atLeast"/>
      <w:ind w:firstLine="420"/>
      <w:textAlignment w:val="baseline"/>
    </w:pPr>
    <w:rPr>
      <w:kern w:val="0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qFormat/>
    <w:uiPriority w:val="99"/>
    <w:pPr>
      <w:widowControl/>
      <w:jc w:val="center"/>
    </w:pPr>
    <w:rPr>
      <w:rFonts w:ascii="黑体" w:hAnsi="黑体" w:eastAsia="黑体" w:cs="Arial Unicode MS"/>
      <w:kern w:val="0"/>
      <w:sz w:val="32"/>
      <w:szCs w:val="32"/>
    </w:rPr>
  </w:style>
  <w:style w:type="character" w:customStyle="1" w:styleId="9">
    <w:name w:val="正文缩进 字符"/>
    <w:link w:val="3"/>
    <w:qFormat/>
    <w:uiPriority w:val="0"/>
    <w:rPr>
      <w:rFonts w:ascii="Times New Roman" w:hAnsi="Times New Roman" w:eastAsia="宋体" w:cs="Times New Roman"/>
      <w:kern w:val="0"/>
      <w:sz w:val="24"/>
      <w:szCs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标题 1 字符"/>
    <w:basedOn w:val="8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2">
    <w:name w:val="页眉 字符"/>
    <w:basedOn w:val="8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8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普通(网站) Char"/>
    <w:basedOn w:val="8"/>
    <w:qFormat/>
    <w:uiPriority w:val="0"/>
    <w:rPr>
      <w:rFonts w:hint="eastAsia" w:ascii="宋体" w:hAnsi="宋体" w:eastAsia="宋体" w:cs="Arial Unicode MS"/>
      <w:sz w:val="24"/>
      <w:szCs w:val="24"/>
    </w:rPr>
  </w:style>
  <w:style w:type="character" w:customStyle="1" w:styleId="15">
    <w:name w:val="正文缩进 Char"/>
    <w:basedOn w:val="8"/>
    <w:uiPriority w:val="0"/>
    <w:rPr>
      <w:sz w:val="24"/>
    </w:rPr>
  </w:style>
  <w:style w:type="character" w:customStyle="1" w:styleId="16">
    <w:name w:val="正文缩进 字符1"/>
    <w:basedOn w:val="8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975</Words>
  <Characters>1050</Characters>
  <Lines>36</Lines>
  <Paragraphs>51</Paragraphs>
  <TotalTime>174</TotalTime>
  <ScaleCrop>false</ScaleCrop>
  <LinksUpToDate>false</LinksUpToDate>
  <CharactersWithSpaces>1062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2026-02-13T03:14:00Z</dcterms:created>
  <dc:creator>China</dc:creator>
  <cp:lastModifiedBy>微信用户</cp:lastModifiedBy>
  <dcterms:modified xsi:type="dcterms:W3CDTF">2026-10-14T10:47:25Z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eyJoZGlkIjoiNDc1YWMyYTZhNTIzODRlNmMyMzU3M2Y4MDg4NjkxMDEiLCJ1c2VySWQiOiIxMzQ5NjQwMjQ3In0=</vt:lpwstr>
  </property>
  <property fmtid="{D5CDD505-2E9C-101B-9397-08002B2CF9AE}" pid="3" name="KSOProductBuildVer">
    <vt:lpwstr>2052-12.1.0.28505</vt:lpwstr>
  </property>
  <property fmtid="{D5CDD505-2E9C-101B-9397-08002B2CF9AE}" pid="4" name="ICV">
    <vt:lpwstr>621EAA95050B42CBB03267DBC8BA7ED0_12</vt:lpwstr>
  </property>
</Properties>
</file>