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AF281">
      <w:pPr>
        <w:pStyle w:val="7"/>
        <w:rPr>
          <w:rFonts w:hint="eastAsia"/>
        </w:rPr>
      </w:pPr>
      <w:r>
        <w:rPr>
          <w:rFonts w:hint="eastAsia"/>
          <w:lang w:eastAsia="zh-CN"/>
        </w:rPr>
        <w:t>北京热火股份有限公司</w:t>
      </w:r>
      <w:r>
        <w:rPr>
          <w:rFonts w:hint="eastAsia"/>
        </w:rPr>
        <w:t>拟进行增资</w:t>
      </w:r>
    </w:p>
    <w:p w14:paraId="118F9908">
      <w:pPr>
        <w:pStyle w:val="7"/>
        <w:rPr>
          <w:rFonts w:hint="eastAsia" w:eastAsia="黑体"/>
          <w:lang w:eastAsia="zh-CN"/>
        </w:rPr>
      </w:pPr>
      <w:r>
        <w:rPr>
          <w:rFonts w:hint="eastAsia"/>
        </w:rPr>
        <w:t>所涉及的</w:t>
      </w:r>
      <w:r>
        <w:rPr>
          <w:rFonts w:hint="eastAsia"/>
          <w:lang w:eastAsia="zh-CN"/>
        </w:rPr>
        <w:t>北京热火股份有限公司</w:t>
      </w:r>
    </w:p>
    <w:p w14:paraId="636DC2AE">
      <w:pPr>
        <w:pStyle w:val="7"/>
        <w:rPr>
          <w:rFonts w:hint="eastAsia"/>
        </w:rPr>
      </w:pPr>
      <w:r>
        <w:rPr>
          <w:rFonts w:hint="eastAsia"/>
        </w:rPr>
        <w:t>股东全部权益价值评估项目</w:t>
      </w:r>
    </w:p>
    <w:p w14:paraId="04D27763">
      <w:pPr>
        <w:pStyle w:val="7"/>
        <w:rPr>
          <w:rFonts w:hint="eastAsia" w:cs="Times New Roman"/>
          <w:b/>
          <w:bCs/>
        </w:rPr>
      </w:pPr>
      <w:r>
        <w:t>审核意见</w:t>
      </w:r>
    </w:p>
    <w:p w14:paraId="193AD334">
      <w:pPr>
        <w:adjustRightInd w:val="0"/>
        <w:snapToGrid w:val="0"/>
        <w:spacing w:line="360" w:lineRule="auto"/>
        <w:jc w:val="center"/>
        <w:rPr>
          <w:szCs w:val="24"/>
        </w:rPr>
      </w:pPr>
      <w:r>
        <w:rPr>
          <w:rFonts w:hint="eastAsia"/>
          <w:color w:val="000000"/>
          <w:sz w:val="28"/>
          <w:szCs w:val="28"/>
          <w:lang w:val="en-US" w:eastAsia="zh-CN"/>
        </w:rPr>
        <w:t>中联</w:t>
      </w:r>
      <w:r>
        <w:rPr>
          <w:color w:val="000000"/>
          <w:sz w:val="28"/>
          <w:szCs w:val="28"/>
        </w:rPr>
        <w:t>评报字</w:t>
      </w:r>
      <w:r>
        <w:rPr>
          <w:rFonts w:hint="eastAsia"/>
          <w:color w:val="000000"/>
          <w:sz w:val="28"/>
          <w:szCs w:val="28"/>
        </w:rPr>
        <w:t>[</w:t>
      </w:r>
      <w:r>
        <w:rPr>
          <w:color w:val="000000"/>
          <w:sz w:val="28"/>
          <w:szCs w:val="28"/>
        </w:rPr>
        <w:t>2026</w:t>
      </w:r>
      <w:r>
        <w:rPr>
          <w:rFonts w:hint="eastAsia"/>
          <w:color w:val="000000"/>
          <w:sz w:val="28"/>
          <w:szCs w:val="28"/>
        </w:rPr>
        <w:t>]</w:t>
      </w:r>
      <w:r>
        <w:rPr>
          <w:color w:val="000000"/>
          <w:sz w:val="28"/>
          <w:szCs w:val="28"/>
        </w:rPr>
        <w:t>第</w:t>
      </w:r>
      <w:r>
        <w:rPr>
          <w:rFonts w:hint="eastAsia"/>
          <w:color w:val="000000"/>
          <w:sz w:val="28"/>
          <w:szCs w:val="28"/>
          <w:lang w:val="en-US" w:eastAsia="zh-CN"/>
        </w:rPr>
        <w:t>1314</w:t>
      </w:r>
      <w:r>
        <w:rPr>
          <w:rFonts w:hint="eastAsia"/>
          <w:szCs w:val="24"/>
        </w:rPr>
        <w:t>号</w:t>
      </w:r>
      <w:bookmarkStart w:id="0" w:name="_GoBack"/>
      <w:bookmarkEnd w:id="0"/>
    </w:p>
    <w:p w14:paraId="56BDED25">
      <w:pPr>
        <w:spacing w:line="276" w:lineRule="auto"/>
        <w:jc w:val="left"/>
        <w:rPr>
          <w:rFonts w:hint="eastAsia" w:ascii="宋体" w:hAnsi="宋体"/>
          <w:b/>
          <w:color w:val="0070C0"/>
          <w:sz w:val="28"/>
          <w:szCs w:val="24"/>
        </w:rPr>
      </w:pPr>
    </w:p>
    <w:p w14:paraId="7058F55A">
      <w:pPr>
        <w:pStyle w:val="2"/>
        <w:numPr>
          <w:ilvl w:val="0"/>
          <w:numId w:val="1"/>
        </w:numPr>
        <w:adjustRightInd w:val="0"/>
        <w:snapToGrid w:val="0"/>
        <w:spacing w:before="0" w:after="0" w:line="360" w:lineRule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评估报告</w:t>
      </w:r>
    </w:p>
    <w:p w14:paraId="1FC969AB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P5，“现将资产评估情况报告如下</w:t>
      </w:r>
      <w:r>
        <w:rPr>
          <w:rFonts w:hint="eastAsia" w:ascii="宋体" w:hAnsi="宋体"/>
          <w:sz w:val="28"/>
          <w:szCs w:val="24"/>
          <w:highlight w:val="yellow"/>
          <w:lang w:val="en-US" w:eastAsia="zh-CN"/>
        </w:rPr>
        <w:t>。</w:t>
      </w:r>
      <w:r>
        <w:rPr>
          <w:rFonts w:hint="eastAsia" w:ascii="宋体" w:hAnsi="宋体"/>
          <w:sz w:val="28"/>
          <w:szCs w:val="24"/>
          <w:lang w:val="en-US" w:eastAsia="zh-CN"/>
        </w:rPr>
        <w:t>”改为“：”。</w:t>
      </w:r>
    </w:p>
    <w:p w14:paraId="6EF70C8E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P9，跨页表格设置重复标题行。</w:t>
      </w:r>
    </w:p>
    <w:p w14:paraId="16BFC368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P17，补充审计文号。</w:t>
      </w:r>
    </w:p>
    <w:p w14:paraId="521E5007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P21，评估依据文号时间写全。</w:t>
      </w:r>
    </w:p>
    <w:p w14:paraId="19BEDA3E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P28，“清偿率=欠款单位基准日总资产的评估值/欠款单位基准日总负债的账面价值（扣除应付职工薪酬和应交税费需优先偿还的负债部分）”是否涉及工程款等项目。</w:t>
      </w:r>
    </w:p>
    <w:p w14:paraId="55EABE3A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P37，“将委估资产在未来每年的纯收益折算为评估</w:t>
      </w:r>
      <w:r>
        <w:rPr>
          <w:rFonts w:hint="eastAsia" w:ascii="宋体" w:hAnsi="宋体"/>
          <w:sz w:val="28"/>
          <w:szCs w:val="24"/>
          <w:highlight w:val="yellow"/>
          <w:lang w:val="en-US" w:eastAsia="zh-CN"/>
        </w:rPr>
        <w:t>时日</w:t>
      </w:r>
      <w:r>
        <w:rPr>
          <w:rFonts w:hint="eastAsia" w:ascii="宋体" w:hAnsi="宋体"/>
          <w:sz w:val="28"/>
          <w:szCs w:val="24"/>
          <w:lang w:val="en-US" w:eastAsia="zh-CN"/>
        </w:rPr>
        <w:t>收益总和的一种方法。”改为“时点”。</w:t>
      </w:r>
    </w:p>
    <w:p w14:paraId="7603FC06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P39，“其他非流动资产为北汽新能源购买</w:t>
      </w:r>
      <w:r>
        <w:rPr>
          <w:rFonts w:hint="eastAsia" w:ascii="宋体" w:hAnsi="宋体"/>
          <w:sz w:val="28"/>
          <w:szCs w:val="24"/>
          <w:highlight w:val="yellow"/>
          <w:lang w:val="en-US" w:eastAsia="zh-CN"/>
        </w:rPr>
        <w:t>固定资产的大型设备款</w:t>
      </w:r>
      <w:r>
        <w:rPr>
          <w:rFonts w:hint="eastAsia" w:ascii="宋体" w:hAnsi="宋体"/>
          <w:sz w:val="28"/>
          <w:szCs w:val="24"/>
          <w:lang w:val="en-US" w:eastAsia="zh-CN"/>
        </w:rPr>
        <w:t>、预计索赔额”不通。</w:t>
      </w:r>
    </w:p>
    <w:p w14:paraId="5FD4343C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P40，补充说明没采用交易案例比较法的理由。</w:t>
      </w:r>
    </w:p>
    <w:p w14:paraId="057BDE8E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无形资产做了收入预测，整体有说收益法不适用，是否前后矛盾。</w:t>
      </w:r>
    </w:p>
    <w:p w14:paraId="6AE4CC0B">
      <w:pPr>
        <w:adjustRightInd w:val="0"/>
        <w:snapToGrid w:val="0"/>
        <w:spacing w:line="360" w:lineRule="auto"/>
        <w:rPr>
          <w:szCs w:val="24"/>
        </w:rPr>
      </w:pPr>
    </w:p>
    <w:p w14:paraId="54B036FA">
      <w:pPr>
        <w:pStyle w:val="2"/>
        <w:numPr>
          <w:ilvl w:val="0"/>
          <w:numId w:val="1"/>
        </w:numPr>
        <w:adjustRightInd w:val="0"/>
        <w:snapToGrid w:val="0"/>
        <w:spacing w:before="0" w:after="0" w:line="360" w:lineRule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评估说明</w:t>
      </w:r>
    </w:p>
    <w:p w14:paraId="6674B190">
      <w:pPr>
        <w:pStyle w:val="2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leftChars="0" w:firstLine="0" w:firstLineChars="0"/>
        <w:textAlignment w:val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评估说明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-母公司</w:t>
      </w:r>
    </w:p>
    <w:p w14:paraId="25CCCCFD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涉及报告问题对照调整。</w:t>
      </w:r>
    </w:p>
    <w:p w14:paraId="63977CC9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72，“鉴于评估对象于评估基准日处于出租状态，本次对租期内租金按照合同约定2026年6月至2026年12月租金为2.95元/天/平方米（含税），租约期外按目前市场租金为2.5元/天/平方米，并考虑2%的增长率。”市场租金下降了吗，跟年租金增长2%是否矛盾。</w:t>
      </w:r>
    </w:p>
    <w:p w14:paraId="144EBB7A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P85，“该办公楼为办公用用框架结构房屋，其经济耐用年限为70年。”框架结构一般不超过60年，请核实。</w:t>
      </w:r>
    </w:p>
    <w:p w14:paraId="57BFB561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P95，案例极大值极小值差异超40%，案例1型号不同，价格明显偏高，请更换案例。</w:t>
      </w:r>
    </w:p>
    <w:p w14:paraId="2B7AEB9F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P96，逐项检查修正过程，如型号不同未进行修正。</w:t>
      </w:r>
    </w:p>
    <w:p w14:paraId="0EE67FD9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P115，“截至2020年11月1日”数据是否过旧。</w:t>
      </w:r>
    </w:p>
    <w:p w14:paraId="344DF87B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P171，“</w:t>
      </w:r>
      <w:r>
        <w:rPr>
          <w:rFonts w:hint="eastAsia" w:ascii="宋体" w:hAnsi="宋体"/>
          <w:sz w:val="28"/>
          <w:szCs w:val="24"/>
          <w:highlight w:val="yellow"/>
          <w:lang w:val="en-US" w:eastAsia="zh-CN"/>
        </w:rPr>
        <w:t>2.（2）</w:t>
      </w:r>
      <w:r>
        <w:rPr>
          <w:rFonts w:hint="eastAsia" w:ascii="宋体" w:hAnsi="宋体"/>
          <w:sz w:val="28"/>
          <w:szCs w:val="24"/>
          <w:lang w:val="en-US" w:eastAsia="zh-CN"/>
        </w:rPr>
        <w:t>管理能力分析”序号重复。</w:t>
      </w:r>
    </w:p>
    <w:p w14:paraId="7A96BA49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P202，跨页表格设置重复标题行。</w:t>
      </w:r>
    </w:p>
    <w:p w14:paraId="678FF75B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P208，“连续复利计算的无风险收益率（r=2.29%）”数据跟测算表使用数据不一致。</w:t>
      </w:r>
    </w:p>
    <w:p w14:paraId="25AE045C">
      <w:pPr>
        <w:pStyle w:val="11"/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hint="eastAsia" w:ascii="宋体" w:hAnsi="宋体"/>
          <w:sz w:val="28"/>
          <w:szCs w:val="24"/>
        </w:rPr>
      </w:pPr>
    </w:p>
    <w:p w14:paraId="0BE29C84">
      <w:pPr>
        <w:pStyle w:val="2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leftChars="0" w:firstLine="0" w:firstLineChars="0"/>
        <w:textAlignment w:val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评估说明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-SGD公司</w:t>
      </w:r>
    </w:p>
    <w:p w14:paraId="43324CD3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涉及</w:t>
      </w:r>
      <w:r>
        <w:rPr>
          <w:rFonts w:hint="eastAsia" w:ascii="宋体" w:hAnsi="宋体"/>
          <w:sz w:val="28"/>
          <w:szCs w:val="24"/>
          <w:lang w:val="en-US" w:eastAsia="zh-CN"/>
        </w:rPr>
        <w:t>母公司</w:t>
      </w:r>
      <w:r>
        <w:rPr>
          <w:rFonts w:hint="eastAsia" w:ascii="宋体" w:hAnsi="宋体"/>
          <w:sz w:val="28"/>
          <w:szCs w:val="24"/>
        </w:rPr>
        <w:t>问题对照调整。</w:t>
      </w:r>
    </w:p>
    <w:p w14:paraId="2CE678C0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P7，“企业未申报账面记录或者未记录的无形资产。”公开信息显示被评估单位存在注册商标，是否漏评。</w:t>
      </w:r>
    </w:p>
    <w:p w14:paraId="2949F1ED">
      <w:pPr>
        <w:pStyle w:val="2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leftChars="0" w:firstLine="0" w:firstLineChars="0"/>
        <w:textAlignment w:val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评估说明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-HDH公司</w:t>
      </w:r>
    </w:p>
    <w:p w14:paraId="151D484D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涉及</w:t>
      </w:r>
      <w:r>
        <w:rPr>
          <w:rFonts w:hint="eastAsia" w:ascii="宋体" w:hAnsi="宋体"/>
          <w:sz w:val="28"/>
          <w:szCs w:val="24"/>
          <w:lang w:val="en-US" w:eastAsia="zh-CN"/>
        </w:rPr>
        <w:t>母公司</w:t>
      </w:r>
      <w:r>
        <w:rPr>
          <w:rFonts w:hint="eastAsia" w:ascii="宋体" w:hAnsi="宋体"/>
          <w:sz w:val="28"/>
          <w:szCs w:val="24"/>
        </w:rPr>
        <w:t>问题对照调整。</w:t>
      </w:r>
    </w:p>
    <w:p w14:paraId="6CAD07D9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P12、P16，“</w:t>
      </w:r>
      <w:r>
        <w:rPr>
          <w:rFonts w:hint="eastAsia" w:ascii="Times New Roman" w:hAnsi="Times New Roman" w:eastAsia="宋体" w:cs="Times New Roman"/>
          <w:b/>
          <w:bCs w:val="0"/>
          <w:sz w:val="24"/>
          <w:szCs w:val="28"/>
          <w:lang w:val="en-US" w:eastAsia="zh-CN" w:bidi="ar"/>
        </w:rPr>
        <w:t>评估结果</w:t>
      </w:r>
      <w:r>
        <w:rPr>
          <w:rFonts w:hint="eastAsia" w:ascii="Times New Roman" w:hAnsi="Times New Roman" w:eastAsia="宋体" w:cs="Times New Roman"/>
          <w:b/>
          <w:bCs w:val="0"/>
          <w:sz w:val="24"/>
          <w:szCs w:val="28"/>
          <w:highlight w:val="yellow"/>
          <w:lang w:val="en-US" w:eastAsia="zh-CN" w:bidi="ar"/>
        </w:rPr>
        <w:t>及分析</w:t>
      </w:r>
      <w:r>
        <w:rPr>
          <w:rFonts w:hint="eastAsia" w:ascii="宋体" w:hAnsi="宋体"/>
          <w:sz w:val="28"/>
          <w:szCs w:val="24"/>
          <w:lang w:val="en-US" w:eastAsia="zh-CN"/>
        </w:rPr>
        <w:t>”未见分析。</w:t>
      </w:r>
    </w:p>
    <w:p w14:paraId="65F42C56">
      <w:pPr>
        <w:pStyle w:val="2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leftChars="0" w:firstLine="0" w:firstLineChars="0"/>
        <w:textAlignment w:val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评估说明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-KDU公司</w:t>
      </w:r>
    </w:p>
    <w:p w14:paraId="409337DF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涉及</w:t>
      </w:r>
      <w:r>
        <w:rPr>
          <w:rFonts w:hint="eastAsia" w:ascii="宋体" w:hAnsi="宋体"/>
          <w:sz w:val="28"/>
          <w:szCs w:val="24"/>
          <w:lang w:val="en-US" w:eastAsia="zh-CN"/>
        </w:rPr>
        <w:t>母公司</w:t>
      </w:r>
      <w:r>
        <w:rPr>
          <w:rFonts w:hint="eastAsia" w:ascii="宋体" w:hAnsi="宋体"/>
          <w:sz w:val="28"/>
          <w:szCs w:val="24"/>
        </w:rPr>
        <w:t>问题对照调整。</w:t>
      </w:r>
    </w:p>
    <w:p w14:paraId="60C7CBFA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P10，“则按照账面价值扣除不合理费用后加适当的资金成本确定其评估值。”测算表没有见到。</w:t>
      </w:r>
    </w:p>
    <w:p w14:paraId="37729A11">
      <w:pPr>
        <w:pStyle w:val="2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leftChars="0" w:firstLine="0" w:firstLineChars="0"/>
        <w:textAlignment w:val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评估说明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-HCW公司</w:t>
      </w:r>
    </w:p>
    <w:p w14:paraId="5CDDB35C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涉及</w:t>
      </w:r>
      <w:r>
        <w:rPr>
          <w:rFonts w:hint="eastAsia" w:ascii="宋体" w:hAnsi="宋体"/>
          <w:sz w:val="28"/>
          <w:szCs w:val="24"/>
          <w:lang w:val="en-US" w:eastAsia="zh-CN"/>
        </w:rPr>
        <w:t>母公司</w:t>
      </w:r>
      <w:r>
        <w:rPr>
          <w:rFonts w:hint="eastAsia" w:ascii="宋体" w:hAnsi="宋体"/>
          <w:sz w:val="28"/>
          <w:szCs w:val="24"/>
        </w:rPr>
        <w:t>问题对照调整。</w:t>
      </w:r>
    </w:p>
    <w:p w14:paraId="136C1C81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目录页码待更新。</w:t>
      </w:r>
    </w:p>
    <w:p w14:paraId="6CBB4F41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P19，“评估结果</w:t>
      </w:r>
      <w:r>
        <w:rPr>
          <w:rFonts w:hint="eastAsia" w:ascii="宋体" w:hAnsi="宋体"/>
          <w:sz w:val="28"/>
          <w:szCs w:val="24"/>
          <w:highlight w:val="yellow"/>
          <w:lang w:val="en-US" w:eastAsia="zh-CN"/>
        </w:rPr>
        <w:t>及分析</w:t>
      </w:r>
      <w:r>
        <w:rPr>
          <w:rFonts w:hint="eastAsia" w:ascii="宋体" w:hAnsi="宋体"/>
          <w:sz w:val="28"/>
          <w:szCs w:val="24"/>
          <w:lang w:val="en-US" w:eastAsia="zh-CN"/>
        </w:rPr>
        <w:t>”未见分析。</w:t>
      </w:r>
    </w:p>
    <w:p w14:paraId="0B1FCF7C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P20，标题“资产基础法评估结论”多余。</w:t>
      </w:r>
    </w:p>
    <w:p w14:paraId="076A3538">
      <w:pPr>
        <w:pStyle w:val="11"/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hint="eastAsia" w:ascii="宋体" w:hAnsi="宋体"/>
          <w:sz w:val="28"/>
          <w:szCs w:val="24"/>
        </w:rPr>
      </w:pPr>
    </w:p>
    <w:p w14:paraId="1FEA0FD8">
      <w:pPr>
        <w:pStyle w:val="2"/>
        <w:numPr>
          <w:ilvl w:val="0"/>
          <w:numId w:val="1"/>
        </w:numPr>
        <w:adjustRightInd w:val="0"/>
        <w:snapToGrid w:val="0"/>
        <w:spacing w:before="0" w:after="0" w:line="360" w:lineRule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评估明细表及测算表</w:t>
      </w:r>
    </w:p>
    <w:p w14:paraId="01B3A614">
      <w:pPr>
        <w:pStyle w:val="2"/>
        <w:numPr>
          <w:ilvl w:val="0"/>
          <w:numId w:val="4"/>
        </w:numPr>
        <w:adjustRightInd w:val="0"/>
        <w:snapToGrid w:val="0"/>
        <w:spacing w:before="0" w:after="0" w:line="360" w:lineRule="auto"/>
        <w:ind w:left="0" w:leftChars="0" w:firstLine="420" w:firstLineChars="0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资产基础法评估明细表及测算表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-母公司</w:t>
      </w:r>
    </w:p>
    <w:p w14:paraId="63F70EE7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房屋建筑物：①补充单方造价取值依据。②门卫房单价是否过高，补充现场照片。③部分同型号资产单价差异较大，如“PE复合管”。补充前期费原始取值过程。</w:t>
      </w:r>
    </w:p>
    <w:p w14:paraId="2B8AA903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机器设备：①部分同型号设备评估原值不同，如“一泵双枪全程加热CM154G”手动涂胶设备。②部分型号填写的公司名称或者待确认。③逐项检查经济寿命年限是否符合实际，如“配电柜及线缆”30年。④补充询价记录。</w:t>
      </w:r>
    </w:p>
    <w:p w14:paraId="6032840B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车辆：车辆半年价格不变吗，补充原始询价记录。</w:t>
      </w:r>
    </w:p>
    <w:p w14:paraId="19EB3054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电子设备：①同型号设备存在不同估值方法，如“启天M4500”“苹果iMac”电脑。②同型号设备存在不同评估原值，如“超聚变2288HV6”服务器。</w:t>
      </w:r>
    </w:p>
    <w:p w14:paraId="18039242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在建（土建）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资金成本跟年限不匹配。</w:t>
      </w:r>
    </w:p>
    <w:p w14:paraId="7022EE5A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在建设备：同在建土建，资金成本跟年限不匹配。</w:t>
      </w:r>
    </w:p>
    <w:p w14:paraId="5C0EAC64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无形-其他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①逐项检查，特别是负数估值。②补充资产类型、状态信息。</w:t>
      </w:r>
    </w:p>
    <w:p w14:paraId="665B8CE7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其他应付款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补充具体结算对象。</w:t>
      </w:r>
    </w:p>
    <w:p w14:paraId="0E85CEF9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递延收益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①逐项核实取得时间是否已缴纳所得税。②“超长期特别国债”内容是什么，为什么在这个科目。</w:t>
      </w:r>
    </w:p>
    <w:p w14:paraId="4BD159EA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核对关联方往来金额是否平衡。</w:t>
      </w:r>
    </w:p>
    <w:p w14:paraId="7C212D1C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  <w:lang w:val="en-US" w:eastAsia="zh-CN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删除多余序号，如“预计负债”科目。</w:t>
      </w:r>
    </w:p>
    <w:p w14:paraId="233C8B3A">
      <w:pPr>
        <w:pStyle w:val="2"/>
        <w:numPr>
          <w:ilvl w:val="0"/>
          <w:numId w:val="4"/>
        </w:numPr>
        <w:adjustRightInd w:val="0"/>
        <w:snapToGrid w:val="0"/>
        <w:spacing w:before="0" w:after="0" w:line="360" w:lineRule="auto"/>
        <w:ind w:left="0" w:leftChars="0" w:firstLine="420" w:firstLineChars="0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资产基础法评估明细表及测算表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-SGD公司</w:t>
      </w:r>
    </w:p>
    <w:p w14:paraId="5C832653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应收账款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账龄跟日期矛盾。</w:t>
      </w:r>
    </w:p>
    <w:p w14:paraId="7BAD5FA6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应付账款：部分结算对象基准日前已注销，是否还需要支付，如“常州市亿来汽车内饰件有限公司”已注销4年。</w:t>
      </w:r>
    </w:p>
    <w:p w14:paraId="6E21AD6E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其他应付：部分结算对象基准日前已注销，如“苏州亿技佳机电科技有限公司”，是否需调整估值。</w:t>
      </w:r>
    </w:p>
    <w:p w14:paraId="3440634D">
      <w:pPr>
        <w:pStyle w:val="2"/>
        <w:numPr>
          <w:ilvl w:val="0"/>
          <w:numId w:val="4"/>
        </w:numPr>
        <w:adjustRightInd w:val="0"/>
        <w:snapToGrid w:val="0"/>
        <w:spacing w:before="0" w:after="0" w:line="360" w:lineRule="auto"/>
        <w:ind w:left="0" w:leftChars="0" w:firstLine="420" w:firstLineChars="0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资产基础法评估明细表及测算表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-HDH公司</w:t>
      </w:r>
    </w:p>
    <w:p w14:paraId="7CCFE18E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电子设备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打印机数量是3，对应估值是否不对。</w:t>
      </w:r>
    </w:p>
    <w:p w14:paraId="7BDE1A3D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其他应付款</w:t>
      </w:r>
      <w:r>
        <w:rPr>
          <w:rFonts w:hint="eastAsia" w:ascii="宋体" w:hAnsi="宋体"/>
          <w:sz w:val="28"/>
          <w:szCs w:val="24"/>
          <w:lang w:eastAsia="zh-CN"/>
        </w:rPr>
        <w:t>：“一次供应商”</w:t>
      </w:r>
      <w:r>
        <w:rPr>
          <w:rFonts w:hint="eastAsia" w:ascii="宋体" w:hAnsi="宋体"/>
          <w:sz w:val="28"/>
          <w:szCs w:val="24"/>
          <w:lang w:val="en-US" w:eastAsia="zh-CN"/>
        </w:rPr>
        <w:t>全称是什么。</w:t>
      </w:r>
    </w:p>
    <w:p w14:paraId="60C49F06">
      <w:pPr>
        <w:pStyle w:val="2"/>
        <w:numPr>
          <w:ilvl w:val="0"/>
          <w:numId w:val="4"/>
        </w:numPr>
        <w:adjustRightInd w:val="0"/>
        <w:snapToGrid w:val="0"/>
        <w:spacing w:before="0" w:after="0" w:line="360" w:lineRule="auto"/>
        <w:ind w:left="0" w:leftChars="0" w:firstLine="420" w:firstLineChars="0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资产基础法评估明细表及测算表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-KDU公司</w:t>
      </w:r>
    </w:p>
    <w:p w14:paraId="24F36D5C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机器设备：部分同型号设备评估原值不同，如“ATEQ F620”测试仪。</w:t>
      </w:r>
    </w:p>
    <w:p w14:paraId="49EC3B32">
      <w:pPr>
        <w:pStyle w:val="2"/>
        <w:numPr>
          <w:ilvl w:val="0"/>
          <w:numId w:val="4"/>
        </w:numPr>
        <w:adjustRightInd w:val="0"/>
        <w:snapToGrid w:val="0"/>
        <w:spacing w:before="0" w:after="0" w:line="360" w:lineRule="auto"/>
        <w:ind w:left="0" w:leftChars="0" w:firstLine="420" w:firstLineChars="0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资产基础法评估明细表及测算表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-HCW公司</w:t>
      </w:r>
    </w:p>
    <w:p w14:paraId="79B28C92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应收账款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补充具体结算对象。</w:t>
      </w:r>
    </w:p>
    <w:p w14:paraId="3099AF60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其他应付款</w:t>
      </w:r>
      <w:r>
        <w:rPr>
          <w:rFonts w:hint="eastAsia" w:ascii="宋体" w:hAnsi="宋体"/>
          <w:sz w:val="28"/>
          <w:szCs w:val="24"/>
          <w:lang w:eastAsia="zh-CN"/>
        </w:rPr>
        <w:t>：“待确认基地补贴款”</w:t>
      </w:r>
      <w:r>
        <w:rPr>
          <w:rFonts w:hint="eastAsia" w:ascii="宋体" w:hAnsi="宋体"/>
          <w:sz w:val="28"/>
          <w:szCs w:val="24"/>
          <w:lang w:val="en-US" w:eastAsia="zh-CN"/>
        </w:rPr>
        <w:t>结算对象是什么。</w:t>
      </w:r>
    </w:p>
    <w:p w14:paraId="2895BF2A">
      <w:pPr>
        <w:pStyle w:val="2"/>
        <w:numPr>
          <w:ilvl w:val="0"/>
          <w:numId w:val="4"/>
        </w:numPr>
        <w:adjustRightInd w:val="0"/>
        <w:snapToGrid w:val="0"/>
        <w:spacing w:before="0" w:after="0" w:line="360" w:lineRule="auto"/>
        <w:ind w:left="0" w:leftChars="0" w:firstLine="420" w:firstLineChars="0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资产基础法评估明细表及测算表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-KCF公司</w:t>
      </w:r>
    </w:p>
    <w:p w14:paraId="1C047713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应收账款</w:t>
      </w:r>
      <w:r>
        <w:rPr>
          <w:rFonts w:hint="eastAsia" w:ascii="宋体" w:hAnsi="宋体"/>
          <w:sz w:val="28"/>
          <w:szCs w:val="24"/>
          <w:lang w:eastAsia="zh-CN"/>
        </w:rPr>
        <w:t>：“</w:t>
      </w:r>
      <w:r>
        <w:rPr>
          <w:rFonts w:hint="eastAsia" w:ascii="宋体" w:hAnsi="宋体"/>
          <w:sz w:val="28"/>
          <w:szCs w:val="24"/>
          <w:lang w:val="en-US" w:eastAsia="zh-CN"/>
        </w:rPr>
        <w:t>审计调整</w:t>
      </w:r>
      <w:r>
        <w:rPr>
          <w:rFonts w:hint="eastAsia" w:ascii="宋体" w:hAnsi="宋体"/>
          <w:sz w:val="28"/>
          <w:szCs w:val="24"/>
          <w:lang w:eastAsia="zh-CN"/>
        </w:rPr>
        <w:t>”</w:t>
      </w:r>
      <w:r>
        <w:rPr>
          <w:rFonts w:hint="eastAsia" w:ascii="宋体" w:hAnsi="宋体"/>
          <w:sz w:val="28"/>
          <w:szCs w:val="24"/>
          <w:lang w:val="en-US" w:eastAsia="zh-CN"/>
        </w:rPr>
        <w:t>明细是什么。</w:t>
      </w:r>
    </w:p>
    <w:p w14:paraId="7E9D6915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其他应收款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①同一个单位部分条目评估为零，部分账面值确认，原因是什么。②补充审计调整明细。</w:t>
      </w:r>
    </w:p>
    <w:p w14:paraId="236FA391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产成品：都是整车，为何按账面值确认。</w:t>
      </w:r>
    </w:p>
    <w:p w14:paraId="0F785227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无形-其他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为什么大面积保留账面值，部分软件直接按账面原值确认评估原值，是否考虑价格变动及贬值因素。</w:t>
      </w:r>
    </w:p>
    <w:p w14:paraId="45F725AE">
      <w:pPr>
        <w:pStyle w:val="2"/>
        <w:numPr>
          <w:ilvl w:val="0"/>
          <w:numId w:val="4"/>
        </w:numPr>
        <w:adjustRightInd w:val="0"/>
        <w:snapToGrid w:val="0"/>
        <w:spacing w:before="0" w:after="0" w:line="360" w:lineRule="auto"/>
        <w:ind w:left="0" w:leftChars="0" w:firstLine="420" w:firstLineChars="0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资产基础法评估明细表及测算表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-KXG公司</w:t>
      </w:r>
    </w:p>
    <w:p w14:paraId="0CD877AB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车辆：①补充评估过程。②补充行驶公里数等基础信息。③补充原始询价记录。</w:t>
      </w:r>
    </w:p>
    <w:p w14:paraId="11366E49">
      <w:pPr>
        <w:pStyle w:val="2"/>
        <w:numPr>
          <w:ilvl w:val="0"/>
          <w:numId w:val="4"/>
        </w:numPr>
        <w:adjustRightInd w:val="0"/>
        <w:snapToGrid w:val="0"/>
        <w:spacing w:before="0" w:after="0" w:line="360" w:lineRule="auto"/>
        <w:ind w:left="0" w:leftChars="0" w:firstLine="420" w:firstLineChars="0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资产基础法评估明细表及测算表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-CGS公司</w:t>
      </w:r>
    </w:p>
    <w:p w14:paraId="3DBA2CAD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机器设备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①部分同型号设备，评估原值不同，如“PF4000-G-P”单轴拧紧机。②补充原始询价记录。</w:t>
      </w:r>
    </w:p>
    <w:p w14:paraId="19E288EA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车辆：案例是挂牌价，补充交易情况修正。</w:t>
      </w:r>
    </w:p>
    <w:p w14:paraId="23751D0F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电子设备：存在同型号设备评估原值不同，如“DS1102E”数字示波器。</w:t>
      </w:r>
    </w:p>
    <w:p w14:paraId="07C7C029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  <w:lang w:val="en-US" w:eastAsia="zh-CN"/>
        </w:rPr>
      </w:pPr>
      <w:r>
        <w:rPr>
          <w:rFonts w:hint="eastAsia" w:ascii="宋体" w:hAnsi="宋体"/>
          <w:sz w:val="28"/>
          <w:szCs w:val="24"/>
        </w:rPr>
        <w:t>无形-其他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为什么软件估值直接按账面值一定比例，补充询价记录。</w:t>
      </w:r>
    </w:p>
    <w:p w14:paraId="39F85DEE">
      <w:pPr>
        <w:pStyle w:val="2"/>
        <w:numPr>
          <w:ilvl w:val="0"/>
          <w:numId w:val="4"/>
        </w:numPr>
        <w:adjustRightInd w:val="0"/>
        <w:snapToGrid w:val="0"/>
        <w:spacing w:before="0" w:after="0" w:line="360" w:lineRule="auto"/>
        <w:ind w:left="0" w:leftChars="0" w:firstLine="420" w:firstLineChars="0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市场法评估明细表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-母公司</w:t>
      </w:r>
    </w:p>
    <w:p w14:paraId="3BE5AF9E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3个可比公司指标差异过大，如EV/S极大值是极小值2.78倍，</w:t>
      </w:r>
      <w:r>
        <w:rPr>
          <w:rFonts w:hint="eastAsia" w:ascii="宋体" w:hAnsi="宋体"/>
          <w:sz w:val="28"/>
          <w:szCs w:val="24"/>
          <w:lang w:val="en-US" w:eastAsia="zh-CN"/>
        </w:rPr>
        <w:t>如何</w:t>
      </w:r>
      <w:r>
        <w:rPr>
          <w:rFonts w:hint="eastAsia" w:ascii="宋体" w:hAnsi="宋体"/>
          <w:sz w:val="28"/>
          <w:szCs w:val="24"/>
        </w:rPr>
        <w:t>说明可比。</w:t>
      </w:r>
    </w:p>
    <w:p w14:paraId="1F253FFD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指标修正单因素上下限设置6是否合理，依据是什么，规模部分为何不修正。</w:t>
      </w:r>
    </w:p>
    <w:p w14:paraId="74BAC077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检查测算公式，比如ev计算是否漏处理货币资金。</w:t>
      </w:r>
    </w:p>
    <w:p w14:paraId="3B769E46">
      <w:pPr>
        <w:pStyle w:val="11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溢余和非经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逐科目核实数据，如一年内到期非流动负债金额为何跟报表金额对不上，溢余土地内容是什么。</w:t>
      </w:r>
    </w:p>
    <w:p w14:paraId="1E9CFBB6">
      <w:pPr>
        <w:adjustRightInd w:val="0"/>
        <w:snapToGrid w:val="0"/>
        <w:spacing w:line="360" w:lineRule="auto"/>
        <w:rPr>
          <w:szCs w:val="24"/>
        </w:rPr>
      </w:pPr>
    </w:p>
    <w:p w14:paraId="077146DE">
      <w:pPr>
        <w:adjustRightInd w:val="0"/>
        <w:snapToGrid w:val="0"/>
        <w:spacing w:line="360" w:lineRule="auto"/>
        <w:ind w:firstLine="4320" w:firstLineChars="1800"/>
        <w:rPr>
          <w:szCs w:val="24"/>
        </w:rPr>
      </w:pPr>
    </w:p>
    <w:p w14:paraId="1FB86CA5">
      <w:pPr>
        <w:adjustRightInd w:val="0"/>
        <w:snapToGrid w:val="0"/>
        <w:spacing w:line="360" w:lineRule="auto"/>
        <w:ind w:leftChars="-59" w:hanging="141" w:hangingChars="59"/>
        <w:jc w:val="left"/>
        <w:rPr>
          <w:szCs w:val="24"/>
        </w:rPr>
      </w:pPr>
      <w:r>
        <w:rPr>
          <w:rFonts w:hint="eastAsia"/>
          <w:szCs w:val="24"/>
        </w:rPr>
        <w:t>审核人：</w:t>
      </w:r>
    </w:p>
    <w:p w14:paraId="012CC00D">
      <w:pPr>
        <w:pStyle w:val="4"/>
        <w:tabs>
          <w:tab w:val="left" w:pos="567"/>
          <w:tab w:val="left" w:pos="1134"/>
          <w:tab w:val="left" w:pos="1276"/>
        </w:tabs>
        <w:snapToGrid w:val="0"/>
        <w:spacing w:before="0" w:after="0" w:line="360" w:lineRule="auto"/>
        <w:ind w:leftChars="-59" w:hanging="141" w:hangingChars="59"/>
        <w:jc w:val="left"/>
      </w:pPr>
      <w:r>
        <w:rPr>
          <w:rFonts w:hint="eastAsia"/>
        </w:rPr>
        <w:t>日期：202</w:t>
      </w:r>
      <w:r>
        <w:t>6</w:t>
      </w:r>
      <w:r>
        <w:rPr>
          <w:rFonts w:hint="eastAsia"/>
        </w:rPr>
        <w:t>年</w:t>
      </w:r>
      <w:r>
        <w:t xml:space="preserve">  </w:t>
      </w:r>
      <w:r>
        <w:rPr>
          <w:rFonts w:hint="eastAsia"/>
        </w:rPr>
        <w:t>月</w:t>
      </w:r>
      <w:r>
        <w:t xml:space="preserve">   </w:t>
      </w:r>
      <w:r>
        <w:rPr>
          <w:rFonts w:hint="eastAsia"/>
        </w:rPr>
        <w:t>日</w:t>
      </w:r>
    </w:p>
    <w:p w14:paraId="2CD0587D"/>
    <w:p w14:paraId="4FDF7BDE">
      <w:pPr>
        <w:adjustRightInd w:val="0"/>
        <w:snapToGrid w:val="0"/>
        <w:spacing w:line="360" w:lineRule="auto"/>
        <w:ind w:leftChars="-59" w:hanging="141" w:hangingChars="59"/>
        <w:jc w:val="left"/>
        <w:rPr>
          <w:szCs w:val="24"/>
        </w:rPr>
      </w:pPr>
    </w:p>
    <w:p w14:paraId="4B9FCB6D">
      <w:pPr>
        <w:adjustRightInd w:val="0"/>
        <w:snapToGrid w:val="0"/>
        <w:spacing w:line="360" w:lineRule="auto"/>
        <w:ind w:leftChars="-59" w:hanging="141" w:hangingChars="59"/>
        <w:jc w:val="left"/>
        <w:rPr>
          <w:szCs w:val="24"/>
        </w:rPr>
      </w:pPr>
      <w:r>
        <w:rPr>
          <w:rFonts w:hint="eastAsia"/>
          <w:szCs w:val="24"/>
        </w:rPr>
        <w:t>答复人：</w:t>
      </w:r>
      <w:r>
        <w:rPr>
          <w:szCs w:val="24"/>
        </w:rPr>
        <w:t xml:space="preserve"> </w:t>
      </w:r>
    </w:p>
    <w:p w14:paraId="4C4BF99A">
      <w:pPr>
        <w:pStyle w:val="4"/>
        <w:tabs>
          <w:tab w:val="left" w:pos="567"/>
          <w:tab w:val="left" w:pos="1134"/>
          <w:tab w:val="left" w:pos="1276"/>
        </w:tabs>
        <w:snapToGrid w:val="0"/>
        <w:spacing w:before="0" w:after="0" w:line="360" w:lineRule="auto"/>
        <w:ind w:leftChars="-59" w:hanging="141" w:hangingChars="59"/>
        <w:jc w:val="left"/>
      </w:pPr>
      <w:r>
        <w:rPr>
          <w:rFonts w:hint="eastAsia"/>
        </w:rPr>
        <w:t>日期：202</w:t>
      </w:r>
      <w:r>
        <w:t>6</w:t>
      </w:r>
      <w:r>
        <w:rPr>
          <w:rFonts w:hint="eastAsia"/>
        </w:rPr>
        <w:t>年</w:t>
      </w:r>
      <w:r>
        <w:t xml:space="preserve">  </w:t>
      </w:r>
      <w:r>
        <w:rPr>
          <w:rFonts w:hint="eastAsia"/>
        </w:rPr>
        <w:t>月</w:t>
      </w:r>
      <w:r>
        <w:t xml:space="preserve">   </w:t>
      </w:r>
      <w:r>
        <w:rPr>
          <w:rFonts w:hint="eastAsia"/>
        </w:rPr>
        <w:t>日</w:t>
      </w:r>
    </w:p>
    <w:p w14:paraId="19B35D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F9B2C9"/>
    <w:multiLevelType w:val="singleLevel"/>
    <w:tmpl w:val="F6F9B2C9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064A8BC4"/>
    <w:multiLevelType w:val="singleLevel"/>
    <w:tmpl w:val="064A8BC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42BB4D7F"/>
    <w:multiLevelType w:val="multilevel"/>
    <w:tmpl w:val="42BB4D7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EBC55E0"/>
    <w:multiLevelType w:val="multilevel"/>
    <w:tmpl w:val="4EBC55E0"/>
    <w:lvl w:ilvl="0" w:tentative="0">
      <w:start w:val="1"/>
      <w:numFmt w:val="chineseCounting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FFF"/>
    <w:rsid w:val="00044A4D"/>
    <w:rsid w:val="00134CC3"/>
    <w:rsid w:val="00262D12"/>
    <w:rsid w:val="00293A76"/>
    <w:rsid w:val="003254CE"/>
    <w:rsid w:val="00330A4D"/>
    <w:rsid w:val="003F435C"/>
    <w:rsid w:val="00406963"/>
    <w:rsid w:val="004802B5"/>
    <w:rsid w:val="004A10E4"/>
    <w:rsid w:val="004A4C87"/>
    <w:rsid w:val="004D0F9F"/>
    <w:rsid w:val="005B3409"/>
    <w:rsid w:val="00602309"/>
    <w:rsid w:val="00741C9D"/>
    <w:rsid w:val="007A55E5"/>
    <w:rsid w:val="00832FFF"/>
    <w:rsid w:val="00851EB0"/>
    <w:rsid w:val="008A7F97"/>
    <w:rsid w:val="00990C37"/>
    <w:rsid w:val="00A01B81"/>
    <w:rsid w:val="00A32D06"/>
    <w:rsid w:val="00AF659A"/>
    <w:rsid w:val="00B15F73"/>
    <w:rsid w:val="00BB07E7"/>
    <w:rsid w:val="00D102AA"/>
    <w:rsid w:val="00D555B0"/>
    <w:rsid w:val="00E33B05"/>
    <w:rsid w:val="00E60BD1"/>
    <w:rsid w:val="00ED2812"/>
    <w:rsid w:val="00F3748E"/>
    <w:rsid w:val="01B1527A"/>
    <w:rsid w:val="01D31328"/>
    <w:rsid w:val="05704D1F"/>
    <w:rsid w:val="1E4A7F26"/>
    <w:rsid w:val="22743D02"/>
    <w:rsid w:val="322F0360"/>
    <w:rsid w:val="36392E40"/>
    <w:rsid w:val="36DC7EC6"/>
    <w:rsid w:val="37A23D48"/>
    <w:rsid w:val="38174ABC"/>
    <w:rsid w:val="3C30512B"/>
    <w:rsid w:val="3FFC0A7B"/>
    <w:rsid w:val="4AE4031D"/>
    <w:rsid w:val="50590B15"/>
    <w:rsid w:val="5A7E0019"/>
    <w:rsid w:val="5C592D1C"/>
    <w:rsid w:val="624520A2"/>
    <w:rsid w:val="682664D1"/>
    <w:rsid w:val="6CF5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0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4"/>
    <w:link w:val="19"/>
    <w:semiHidden/>
    <w:unhideWhenUsed/>
    <w:qFormat/>
    <w:uiPriority w:val="9"/>
    <w:pPr>
      <w:keepNext/>
      <w:keepLines/>
      <w:widowControl w:val="0"/>
      <w:suppressLineNumbers w:val="0"/>
      <w:adjustRightInd w:val="0"/>
      <w:spacing w:before="280" w:beforeAutospacing="0" w:after="290" w:afterAutospacing="0" w:line="376" w:lineRule="atLeast"/>
      <w:ind w:left="0" w:right="0" w:firstLine="425"/>
      <w:jc w:val="both"/>
      <w:outlineLvl w:val="3"/>
    </w:pPr>
    <w:rPr>
      <w:rFonts w:ascii="Arial" w:hAnsi="Arial" w:eastAsia="黑体" w:cs="Times New Roman"/>
      <w:kern w:val="0"/>
      <w:sz w:val="28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next w:val="1"/>
    <w:link w:val="10"/>
    <w:autoRedefine/>
    <w:qFormat/>
    <w:uiPriority w:val="0"/>
    <w:pPr>
      <w:adjustRightInd w:val="0"/>
      <w:spacing w:before="60" w:after="60" w:line="312" w:lineRule="atLeast"/>
      <w:ind w:firstLine="420"/>
      <w:textAlignment w:val="baseline"/>
    </w:pPr>
    <w:rPr>
      <w:kern w:val="0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autoRedefine/>
    <w:qFormat/>
    <w:uiPriority w:val="99"/>
    <w:pPr>
      <w:widowControl/>
      <w:jc w:val="center"/>
    </w:pPr>
    <w:rPr>
      <w:rFonts w:ascii="黑体" w:hAnsi="黑体" w:eastAsia="黑体" w:cs="Arial Unicode MS"/>
      <w:kern w:val="0"/>
      <w:sz w:val="32"/>
      <w:szCs w:val="32"/>
    </w:rPr>
  </w:style>
  <w:style w:type="character" w:customStyle="1" w:styleId="10">
    <w:name w:val="正文缩进 字符"/>
    <w:link w:val="4"/>
    <w:qFormat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1 字符"/>
    <w:basedOn w:val="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3">
    <w:name w:val="页眉 字符"/>
    <w:basedOn w:val="9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basedOn w:val="9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正文缩进 字符1"/>
    <w:basedOn w:val="9"/>
    <w:qFormat/>
    <w:uiPriority w:val="0"/>
    <w:rPr>
      <w:sz w:val="24"/>
    </w:rPr>
  </w:style>
  <w:style w:type="character" w:customStyle="1" w:styleId="16">
    <w:name w:val="正文缩进 字符3"/>
    <w:basedOn w:val="9"/>
    <w:qFormat/>
    <w:uiPriority w:val="0"/>
    <w:rPr>
      <w:sz w:val="24"/>
    </w:rPr>
  </w:style>
  <w:style w:type="paragraph" w:customStyle="1" w:styleId="17">
    <w:name w:val="天健兴业正文"/>
    <w:basedOn w:val="4"/>
    <w:link w:val="18"/>
    <w:qFormat/>
    <w:uiPriority w:val="0"/>
    <w:pPr>
      <w:keepNext w:val="0"/>
      <w:keepLines w:val="0"/>
      <w:widowControl w:val="0"/>
      <w:suppressLineNumbers w:val="0"/>
      <w:adjustRightInd w:val="0"/>
      <w:snapToGrid w:val="0"/>
      <w:spacing w:before="60" w:beforeAutospacing="0" w:after="60" w:afterAutospacing="0" w:line="360" w:lineRule="auto"/>
      <w:ind w:left="0" w:right="0" w:firstLine="200" w:firstLineChars="200"/>
      <w:jc w:val="both"/>
    </w:pPr>
    <w:rPr>
      <w:rFonts w:hint="default"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customStyle="1" w:styleId="18">
    <w:name w:val="天健兴业正文 字符"/>
    <w:basedOn w:val="9"/>
    <w:link w:val="17"/>
    <w:qFormat/>
    <w:uiPriority w:val="0"/>
    <w:rPr>
      <w:sz w:val="24"/>
      <w:szCs w:val="24"/>
    </w:rPr>
  </w:style>
  <w:style w:type="character" w:customStyle="1" w:styleId="19">
    <w:name w:val="标题 4 字符"/>
    <w:basedOn w:val="9"/>
    <w:link w:val="3"/>
    <w:qFormat/>
    <w:uiPriority w:val="0"/>
    <w:rPr>
      <w:rFonts w:hint="default" w:ascii="Arial" w:hAnsi="Arial" w:eastAsia="黑体" w:cs="Arial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2096</Words>
  <Characters>2269</Characters>
  <Lines>36</Lines>
  <Paragraphs>51</Paragraphs>
  <TotalTime>7</TotalTime>
  <ScaleCrop>false</ScaleCrop>
  <LinksUpToDate>false</LinksUpToDate>
  <CharactersWithSpaces>2281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2026-02-13T03:14:00Z</dcterms:created>
  <dc:creator>China</dc:creator>
  <cp:lastModifiedBy>微信用户</cp:lastModifiedBy>
  <dcterms:modified xsi:type="dcterms:W3CDTF">2026-10-14T10:46:32Z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eyJoZGlkIjoiNDc1YWMyYTZhNTIzODRlNmMyMzU3M2Y4MDg4NjkxMDEiLCJ1c2VySWQiOiIxMzQ5NjQwMjQ3In0=</vt:lpwstr>
  </property>
  <property fmtid="{D5CDD505-2E9C-101B-9397-08002B2CF9AE}" pid="3" name="KSOProductBuildVer">
    <vt:lpwstr>2052-12.1.0.28505</vt:lpwstr>
  </property>
  <property fmtid="{D5CDD505-2E9C-101B-9397-08002B2CF9AE}" pid="4" name="ICV">
    <vt:lpwstr>621EAA95050B42CBB03267DBC8BA7ED0_12</vt:lpwstr>
  </property>
</Properties>
</file>