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5574C4">
      <w:pPr>
        <w:pStyle w:val="6"/>
        <w:rPr>
          <w:rFonts w:hint="eastAsia"/>
        </w:rPr>
      </w:pPr>
      <w:r>
        <w:rPr>
          <w:rFonts w:hint="eastAsia"/>
          <w:lang w:eastAsia="zh-CN"/>
        </w:rPr>
        <w:t>中国神州科技有限公司</w:t>
      </w:r>
      <w:r>
        <w:rPr>
          <w:rFonts w:hint="eastAsia"/>
        </w:rPr>
        <w:t>拟租入</w:t>
      </w:r>
    </w:p>
    <w:p w14:paraId="636DC2AE">
      <w:pPr>
        <w:pStyle w:val="6"/>
        <w:rPr>
          <w:rFonts w:hint="eastAsia"/>
        </w:rPr>
      </w:pPr>
      <w:r>
        <w:rPr>
          <w:rFonts w:hint="eastAsia"/>
        </w:rPr>
        <w:t>设备涉及的年租金市场价值评估项目</w:t>
      </w:r>
    </w:p>
    <w:p w14:paraId="04D27763">
      <w:pPr>
        <w:pStyle w:val="6"/>
        <w:rPr>
          <w:rFonts w:hint="eastAsia" w:cs="Times New Roman"/>
          <w:b/>
          <w:bCs/>
        </w:rPr>
      </w:pPr>
      <w:r>
        <w:t>审核意见</w:t>
      </w:r>
    </w:p>
    <w:p w14:paraId="193AD334">
      <w:pPr>
        <w:adjustRightInd w:val="0"/>
        <w:snapToGrid w:val="0"/>
        <w:spacing w:line="360" w:lineRule="auto"/>
        <w:jc w:val="center"/>
        <w:rPr>
          <w:szCs w:val="24"/>
        </w:rPr>
      </w:pPr>
      <w:r>
        <w:rPr>
          <w:rFonts w:hint="eastAsia"/>
          <w:color w:val="000000"/>
          <w:sz w:val="28"/>
          <w:szCs w:val="28"/>
          <w:lang w:val="en-US" w:eastAsia="zh-CN"/>
        </w:rPr>
        <w:t>中企华</w:t>
      </w:r>
      <w:r>
        <w:rPr>
          <w:color w:val="000000"/>
          <w:sz w:val="28"/>
          <w:szCs w:val="28"/>
        </w:rPr>
        <w:t>评报字</w:t>
      </w:r>
      <w:r>
        <w:rPr>
          <w:rFonts w:hint="eastAsia"/>
          <w:color w:val="000000"/>
          <w:sz w:val="28"/>
          <w:szCs w:val="28"/>
        </w:rPr>
        <w:t>[</w:t>
      </w:r>
      <w:r>
        <w:rPr>
          <w:color w:val="000000"/>
          <w:sz w:val="28"/>
          <w:szCs w:val="28"/>
        </w:rPr>
        <w:t>2026</w:t>
      </w:r>
      <w:r>
        <w:rPr>
          <w:rFonts w:hint="eastAsia"/>
          <w:color w:val="000000"/>
          <w:sz w:val="28"/>
          <w:szCs w:val="28"/>
        </w:rPr>
        <w:t>]</w:t>
      </w:r>
      <w:r>
        <w:rPr>
          <w:color w:val="000000"/>
          <w:sz w:val="28"/>
          <w:szCs w:val="28"/>
        </w:rPr>
        <w:t>第</w:t>
      </w:r>
      <w:r>
        <w:rPr>
          <w:rFonts w:hint="eastAsia"/>
          <w:color w:val="000000"/>
          <w:sz w:val="28"/>
          <w:szCs w:val="28"/>
          <w:lang w:val="en-US" w:eastAsia="zh-CN"/>
        </w:rPr>
        <w:t>9999</w:t>
      </w:r>
      <w:r>
        <w:rPr>
          <w:rFonts w:hint="eastAsia"/>
          <w:szCs w:val="24"/>
        </w:rPr>
        <w:t>号</w:t>
      </w:r>
    </w:p>
    <w:p w14:paraId="56BDED25">
      <w:pPr>
        <w:spacing w:line="276" w:lineRule="auto"/>
        <w:jc w:val="left"/>
        <w:rPr>
          <w:rFonts w:hint="eastAsia" w:ascii="宋体" w:hAnsi="宋体"/>
          <w:b/>
          <w:color w:val="0070C0"/>
          <w:sz w:val="28"/>
          <w:szCs w:val="24"/>
        </w:rPr>
      </w:pPr>
    </w:p>
    <w:p w14:paraId="7058F55A">
      <w:pPr>
        <w:pStyle w:val="2"/>
        <w:numPr>
          <w:ilvl w:val="0"/>
          <w:numId w:val="1"/>
        </w:numPr>
        <w:adjustRightInd w:val="0"/>
        <w:snapToGrid w:val="0"/>
        <w:spacing w:before="0" w:after="0" w:line="360" w:lineRule="auto"/>
        <w:rPr>
          <w:rFonts w:hint="eastAsia" w:ascii="黑体" w:hAnsi="黑体" w:eastAsia="黑体"/>
          <w:sz w:val="32"/>
          <w:szCs w:val="32"/>
        </w:rPr>
      </w:pPr>
      <w:r>
        <w:rPr>
          <w:rFonts w:hint="eastAsia" w:ascii="黑体" w:hAnsi="黑体" w:eastAsia="黑体"/>
          <w:sz w:val="32"/>
          <w:szCs w:val="32"/>
        </w:rPr>
        <w:t>评估报告</w:t>
      </w:r>
    </w:p>
    <w:p w14:paraId="1FC969AB">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目录页码待更新。</w:t>
      </w:r>
    </w:p>
    <w:p w14:paraId="0CE79539">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P3，“本</w:t>
      </w:r>
      <w:r>
        <w:rPr>
          <w:rFonts w:hint="eastAsia" w:ascii="宋体" w:hAnsi="宋体"/>
          <w:sz w:val="28"/>
          <w:szCs w:val="24"/>
          <w:highlight w:val="yellow"/>
          <w:lang w:val="en-US" w:eastAsia="zh-CN"/>
        </w:rPr>
        <w:t>评估报告使用的有效期限</w:t>
      </w:r>
      <w:r>
        <w:rPr>
          <w:rFonts w:hint="eastAsia" w:ascii="宋体" w:hAnsi="宋体"/>
          <w:sz w:val="28"/>
          <w:szCs w:val="24"/>
          <w:lang w:val="en-US" w:eastAsia="zh-CN"/>
        </w:rPr>
        <w:t>为1年”，应为“评估结论使用的有效期限”。</w:t>
      </w:r>
    </w:p>
    <w:p w14:paraId="66CA527E">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P6，评估范围与对象部分补充账面价值信息。</w:t>
      </w:r>
    </w:p>
    <w:p w14:paraId="5FD4343C">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P12，“设备报酬率选取中国人民银行授权全国银行间同业拆借中心公布的五年期贷款市场报价利率（ LPR）作为报酬率。 ”评估明细表实际测算用的一年期数据。</w:t>
      </w:r>
    </w:p>
    <w:p w14:paraId="6AE4CC0B">
      <w:pPr>
        <w:adjustRightInd w:val="0"/>
        <w:snapToGrid w:val="0"/>
        <w:spacing w:line="360" w:lineRule="auto"/>
        <w:rPr>
          <w:szCs w:val="24"/>
        </w:rPr>
      </w:pPr>
    </w:p>
    <w:p w14:paraId="6674B190">
      <w:pPr>
        <w:pStyle w:val="2"/>
        <w:numPr>
          <w:ilvl w:val="0"/>
          <w:numId w:val="1"/>
        </w:numPr>
        <w:adjustRightInd w:val="0"/>
        <w:snapToGrid w:val="0"/>
        <w:spacing w:before="0" w:after="0" w:line="360" w:lineRule="auto"/>
        <w:rPr>
          <w:rFonts w:hint="eastAsia" w:ascii="黑体" w:hAnsi="黑体" w:eastAsia="黑体"/>
          <w:sz w:val="32"/>
          <w:szCs w:val="32"/>
        </w:rPr>
      </w:pPr>
      <w:r>
        <w:rPr>
          <w:rFonts w:hint="eastAsia" w:ascii="黑体" w:hAnsi="黑体" w:eastAsia="黑体"/>
          <w:sz w:val="32"/>
          <w:szCs w:val="32"/>
        </w:rPr>
        <w:t>评估说明</w:t>
      </w:r>
    </w:p>
    <w:p w14:paraId="25CCCCFD">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rPr>
        <w:t>涉及报告问题对照调整。</w:t>
      </w:r>
    </w:p>
    <w:p w14:paraId="25AE045C">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P11，“报酬率选取无风险报酬率和风险报酬率相加作为报酬率8.00% 。”补充取值过程。</w:t>
      </w:r>
    </w:p>
    <w:p w14:paraId="1FEA0FD8">
      <w:pPr>
        <w:pStyle w:val="2"/>
        <w:numPr>
          <w:ilvl w:val="0"/>
          <w:numId w:val="1"/>
        </w:numPr>
        <w:adjustRightInd w:val="0"/>
        <w:snapToGrid w:val="0"/>
        <w:spacing w:before="0" w:after="0" w:line="360" w:lineRule="auto"/>
        <w:rPr>
          <w:rFonts w:hint="eastAsia" w:ascii="黑体" w:hAnsi="黑体" w:eastAsia="黑体"/>
          <w:sz w:val="32"/>
          <w:szCs w:val="32"/>
        </w:rPr>
      </w:pPr>
      <w:r>
        <w:rPr>
          <w:rFonts w:hint="eastAsia" w:ascii="黑体" w:hAnsi="黑体" w:eastAsia="黑体"/>
          <w:sz w:val="32"/>
          <w:szCs w:val="32"/>
        </w:rPr>
        <w:t>评估明细表及测算表</w:t>
      </w:r>
    </w:p>
    <w:p w14:paraId="238CD933">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部分设备已使用年限已经超过经济寿命年限，为何统一继续按5年尚可使用年限，是否合理。</w:t>
      </w:r>
    </w:p>
    <w:p w14:paraId="0AE36C65">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部分设备尚可使用年限5年，年租金大于评估净值，如序号125，估值是否准确。</w:t>
      </w:r>
    </w:p>
    <w:p w14:paraId="3B769E46">
      <w:pPr>
        <w:pStyle w:val="10"/>
        <w:numPr>
          <w:ilvl w:val="0"/>
          <w:numId w:val="2"/>
        </w:numPr>
        <w:adjustRightInd w:val="0"/>
        <w:snapToGrid w:val="0"/>
        <w:spacing w:line="360" w:lineRule="auto"/>
        <w:ind w:firstLineChars="0"/>
        <w:rPr>
          <w:rFonts w:hint="eastAsia" w:ascii="宋体" w:hAnsi="宋体"/>
          <w:sz w:val="28"/>
          <w:szCs w:val="24"/>
        </w:rPr>
      </w:pPr>
      <w:r>
        <w:rPr>
          <w:rFonts w:hint="eastAsia" w:ascii="宋体" w:hAnsi="宋体"/>
          <w:sz w:val="28"/>
          <w:szCs w:val="24"/>
          <w:lang w:val="en-US" w:eastAsia="zh-CN"/>
        </w:rPr>
        <w:t>补充原始询价记录。</w:t>
      </w:r>
    </w:p>
    <w:p w14:paraId="1E9CFBB6">
      <w:pPr>
        <w:adjustRightInd w:val="0"/>
        <w:snapToGrid w:val="0"/>
        <w:spacing w:line="360" w:lineRule="auto"/>
        <w:rPr>
          <w:szCs w:val="24"/>
        </w:rPr>
      </w:pPr>
    </w:p>
    <w:p w14:paraId="077146DE">
      <w:pPr>
        <w:adjustRightInd w:val="0"/>
        <w:snapToGrid w:val="0"/>
        <w:spacing w:line="360" w:lineRule="auto"/>
        <w:ind w:firstLine="4320" w:firstLineChars="1800"/>
        <w:rPr>
          <w:szCs w:val="24"/>
        </w:rPr>
      </w:pPr>
    </w:p>
    <w:p w14:paraId="1FB86CA5">
      <w:pPr>
        <w:adjustRightInd w:val="0"/>
        <w:snapToGrid w:val="0"/>
        <w:spacing w:line="360" w:lineRule="auto"/>
        <w:ind w:leftChars="-59" w:hanging="141" w:hangingChars="59"/>
        <w:jc w:val="left"/>
        <w:rPr>
          <w:szCs w:val="24"/>
        </w:rPr>
      </w:pPr>
      <w:r>
        <w:rPr>
          <w:rFonts w:hint="eastAsia"/>
          <w:szCs w:val="24"/>
        </w:rPr>
        <w:t>审核人：</w:t>
      </w:r>
      <w:bookmarkStart w:id="0" w:name="_GoBack"/>
      <w:bookmarkEnd w:id="0"/>
      <w:r>
        <w:rPr>
          <w:szCs w:val="24"/>
        </w:rPr>
        <w:t xml:space="preserve"> </w:t>
      </w:r>
    </w:p>
    <w:p w14:paraId="012CC00D">
      <w:pPr>
        <w:pStyle w:val="3"/>
        <w:tabs>
          <w:tab w:val="left" w:pos="567"/>
          <w:tab w:val="left" w:pos="1134"/>
          <w:tab w:val="left" w:pos="1276"/>
        </w:tabs>
        <w:snapToGrid w:val="0"/>
        <w:spacing w:before="0" w:after="0" w:line="360" w:lineRule="auto"/>
        <w:ind w:leftChars="-59" w:hanging="141" w:hangingChars="59"/>
        <w:jc w:val="left"/>
      </w:pPr>
      <w:r>
        <w:rPr>
          <w:rFonts w:hint="eastAsia"/>
        </w:rPr>
        <w:t>日期：202</w:t>
      </w:r>
      <w:r>
        <w:t>6</w:t>
      </w:r>
      <w:r>
        <w:rPr>
          <w:rFonts w:hint="eastAsia"/>
        </w:rPr>
        <w:t>年</w:t>
      </w:r>
      <w:r>
        <w:t xml:space="preserve">  </w:t>
      </w:r>
      <w:r>
        <w:rPr>
          <w:rFonts w:hint="eastAsia"/>
        </w:rPr>
        <w:t>月</w:t>
      </w:r>
      <w:r>
        <w:t xml:space="preserve">   </w:t>
      </w:r>
      <w:r>
        <w:rPr>
          <w:rFonts w:hint="eastAsia"/>
        </w:rPr>
        <w:t>日</w:t>
      </w:r>
    </w:p>
    <w:p w14:paraId="2CD0587D"/>
    <w:p w14:paraId="4FDF7BDE">
      <w:pPr>
        <w:adjustRightInd w:val="0"/>
        <w:snapToGrid w:val="0"/>
        <w:spacing w:line="360" w:lineRule="auto"/>
        <w:ind w:leftChars="-59" w:hanging="141" w:hangingChars="59"/>
        <w:jc w:val="left"/>
        <w:rPr>
          <w:szCs w:val="24"/>
        </w:rPr>
      </w:pPr>
    </w:p>
    <w:p w14:paraId="4B9FCB6D">
      <w:pPr>
        <w:adjustRightInd w:val="0"/>
        <w:snapToGrid w:val="0"/>
        <w:spacing w:line="360" w:lineRule="auto"/>
        <w:ind w:leftChars="-59" w:hanging="141" w:hangingChars="59"/>
        <w:jc w:val="left"/>
        <w:rPr>
          <w:szCs w:val="24"/>
        </w:rPr>
      </w:pPr>
      <w:r>
        <w:rPr>
          <w:rFonts w:hint="eastAsia"/>
          <w:szCs w:val="24"/>
        </w:rPr>
        <w:t>答复人：</w:t>
      </w:r>
      <w:r>
        <w:rPr>
          <w:szCs w:val="24"/>
        </w:rPr>
        <w:t xml:space="preserve"> </w:t>
      </w:r>
    </w:p>
    <w:p w14:paraId="4C4BF99A">
      <w:pPr>
        <w:pStyle w:val="3"/>
        <w:tabs>
          <w:tab w:val="left" w:pos="567"/>
          <w:tab w:val="left" w:pos="1134"/>
          <w:tab w:val="left" w:pos="1276"/>
        </w:tabs>
        <w:snapToGrid w:val="0"/>
        <w:spacing w:before="0" w:after="0" w:line="360" w:lineRule="auto"/>
        <w:ind w:leftChars="-59" w:hanging="141" w:hangingChars="59"/>
        <w:jc w:val="left"/>
      </w:pPr>
      <w:r>
        <w:rPr>
          <w:rFonts w:hint="eastAsia"/>
        </w:rPr>
        <w:t>日期：202</w:t>
      </w:r>
      <w:r>
        <w:t>6</w:t>
      </w:r>
      <w:r>
        <w:rPr>
          <w:rFonts w:hint="eastAsia"/>
        </w:rPr>
        <w:t>年</w:t>
      </w:r>
      <w:r>
        <w:t xml:space="preserve">  </w:t>
      </w:r>
      <w:r>
        <w:rPr>
          <w:rFonts w:hint="eastAsia"/>
        </w:rPr>
        <w:t>月</w:t>
      </w:r>
      <w:r>
        <w:t xml:space="preserve">   </w:t>
      </w:r>
      <w:r>
        <w:rPr>
          <w:rFonts w:hint="eastAsia"/>
        </w:rPr>
        <w:t>日</w:t>
      </w:r>
    </w:p>
    <w:p w14:paraId="19B35D1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Arial"/>
    <w:panose1 w:val="020B0604020202020204"/>
    <w:charset w:val="00"/>
    <w:family w:val="roman"/>
    <w:pitch w:val="default"/>
    <w:sig w:usb0="00000000"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BB4D7F"/>
    <w:multiLevelType w:val="multilevel"/>
    <w:tmpl w:val="42BB4D7F"/>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4EBC55E0"/>
    <w:multiLevelType w:val="multilevel"/>
    <w:tmpl w:val="4EBC55E0"/>
    <w:lvl w:ilvl="0" w:tentative="0">
      <w:start w:val="1"/>
      <w:numFmt w:val="chineseCounting"/>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2FFF"/>
    <w:rsid w:val="00044A4D"/>
    <w:rsid w:val="00134CC3"/>
    <w:rsid w:val="00262D12"/>
    <w:rsid w:val="00293A76"/>
    <w:rsid w:val="003254CE"/>
    <w:rsid w:val="00330A4D"/>
    <w:rsid w:val="003F435C"/>
    <w:rsid w:val="00406963"/>
    <w:rsid w:val="004802B5"/>
    <w:rsid w:val="004A10E4"/>
    <w:rsid w:val="004A4C87"/>
    <w:rsid w:val="004D0F9F"/>
    <w:rsid w:val="005B3409"/>
    <w:rsid w:val="00602309"/>
    <w:rsid w:val="00741C9D"/>
    <w:rsid w:val="007A55E5"/>
    <w:rsid w:val="00832FFF"/>
    <w:rsid w:val="00851EB0"/>
    <w:rsid w:val="008A7F97"/>
    <w:rsid w:val="00990C37"/>
    <w:rsid w:val="00A01B81"/>
    <w:rsid w:val="00A32D06"/>
    <w:rsid w:val="00AF659A"/>
    <w:rsid w:val="00B15F73"/>
    <w:rsid w:val="00BB07E7"/>
    <w:rsid w:val="00D102AA"/>
    <w:rsid w:val="00D555B0"/>
    <w:rsid w:val="00E33B05"/>
    <w:rsid w:val="00ED2812"/>
    <w:rsid w:val="00F3748E"/>
    <w:rsid w:val="17B725F8"/>
    <w:rsid w:val="37A23D48"/>
    <w:rsid w:val="3F02256D"/>
    <w:rsid w:val="43D55A06"/>
    <w:rsid w:val="4F6208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0"/>
      <w:lang w:val="en-US" w:eastAsia="zh-CN" w:bidi="ar-SA"/>
    </w:rPr>
  </w:style>
  <w:style w:type="paragraph" w:styleId="2">
    <w:name w:val="heading 1"/>
    <w:basedOn w:val="1"/>
    <w:next w:val="1"/>
    <w:link w:val="11"/>
    <w:qFormat/>
    <w:uiPriority w:val="9"/>
    <w:pPr>
      <w:keepNext/>
      <w:keepLines/>
      <w:spacing w:before="340" w:after="330" w:line="578" w:lineRule="auto"/>
      <w:outlineLvl w:val="0"/>
    </w:pPr>
    <w:rPr>
      <w:b/>
      <w:bCs/>
      <w:kern w:val="44"/>
      <w:sz w:val="44"/>
      <w:szCs w:val="44"/>
    </w:rPr>
  </w:style>
  <w:style w:type="character" w:default="1" w:styleId="8">
    <w:name w:val="Default Paragraph Font"/>
    <w:semiHidden/>
    <w:unhideWhenUsed/>
    <w:qFormat/>
    <w:uiPriority w:val="1"/>
  </w:style>
  <w:style w:type="table" w:default="1" w:styleId="7">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3">
    <w:name w:val="Normal Indent"/>
    <w:basedOn w:val="1"/>
    <w:link w:val="9"/>
    <w:autoRedefine/>
    <w:qFormat/>
    <w:uiPriority w:val="0"/>
    <w:pPr>
      <w:adjustRightInd w:val="0"/>
      <w:spacing w:before="60" w:after="60" w:line="312" w:lineRule="atLeast"/>
      <w:ind w:firstLine="420"/>
      <w:textAlignment w:val="baseline"/>
    </w:pPr>
    <w:rPr>
      <w:kern w:val="0"/>
    </w:r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autoRedefine/>
    <w:qFormat/>
    <w:uiPriority w:val="99"/>
    <w:pPr>
      <w:widowControl/>
      <w:jc w:val="center"/>
    </w:pPr>
    <w:rPr>
      <w:rFonts w:ascii="黑体" w:hAnsi="黑体" w:eastAsia="黑体" w:cs="Arial Unicode MS"/>
      <w:kern w:val="0"/>
      <w:sz w:val="32"/>
      <w:szCs w:val="32"/>
    </w:rPr>
  </w:style>
  <w:style w:type="character" w:customStyle="1" w:styleId="9">
    <w:name w:val="正文缩进 字符"/>
    <w:link w:val="3"/>
    <w:qFormat/>
    <w:uiPriority w:val="0"/>
    <w:rPr>
      <w:rFonts w:ascii="Times New Roman" w:hAnsi="Times New Roman" w:eastAsia="宋体" w:cs="Times New Roman"/>
      <w:kern w:val="0"/>
      <w:sz w:val="24"/>
      <w:szCs w:val="20"/>
    </w:rPr>
  </w:style>
  <w:style w:type="paragraph" w:styleId="10">
    <w:name w:val="List Paragraph"/>
    <w:basedOn w:val="1"/>
    <w:qFormat/>
    <w:uiPriority w:val="34"/>
    <w:pPr>
      <w:ind w:firstLine="420" w:firstLineChars="200"/>
    </w:pPr>
  </w:style>
  <w:style w:type="character" w:customStyle="1" w:styleId="11">
    <w:name w:val="标题 1 字符"/>
    <w:basedOn w:val="8"/>
    <w:link w:val="2"/>
    <w:qFormat/>
    <w:uiPriority w:val="9"/>
    <w:rPr>
      <w:rFonts w:ascii="Times New Roman" w:hAnsi="Times New Roman" w:eastAsia="宋体" w:cs="Times New Roman"/>
      <w:b/>
      <w:bCs/>
      <w:kern w:val="44"/>
      <w:sz w:val="44"/>
      <w:szCs w:val="44"/>
    </w:rPr>
  </w:style>
  <w:style w:type="character" w:customStyle="1" w:styleId="12">
    <w:name w:val="页眉 字符"/>
    <w:basedOn w:val="8"/>
    <w:link w:val="5"/>
    <w:qFormat/>
    <w:uiPriority w:val="99"/>
    <w:rPr>
      <w:rFonts w:ascii="Times New Roman" w:hAnsi="Times New Roman" w:eastAsia="宋体" w:cs="Times New Roman"/>
      <w:sz w:val="18"/>
      <w:szCs w:val="18"/>
    </w:rPr>
  </w:style>
  <w:style w:type="character" w:customStyle="1" w:styleId="13">
    <w:name w:val="页脚 字符"/>
    <w:basedOn w:val="8"/>
    <w:link w:val="4"/>
    <w:qFormat/>
    <w:uiPriority w:val="99"/>
    <w:rPr>
      <w:rFonts w:ascii="Times New Roman" w:hAnsi="Times New Roman" w:eastAsia="宋体" w:cs="Times New Roman"/>
      <w:sz w:val="18"/>
      <w:szCs w:val="18"/>
    </w:rPr>
  </w:style>
  <w:style w:type="character" w:customStyle="1" w:styleId="14">
    <w:name w:val="正文缩进 字符1"/>
    <w:basedOn w:val="8"/>
    <w:qFormat/>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Pages>
  <Words>648</Words>
  <Characters>694</Characters>
  <Lines>36</Lines>
  <Paragraphs>51</Paragraphs>
  <TotalTime>99</TotalTime>
  <ScaleCrop>false</ScaleCrop>
  <LinksUpToDate>false</LinksUpToDate>
  <CharactersWithSpaces>711</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2026-02-13T03:14:00Z</dcterms:created>
  <dc:creator>China</dc:creator>
  <cp:lastModifiedBy>微信用户</cp:lastModifiedBy>
  <dcterms:modified xsi:type="dcterms:W3CDTF">2026-10-14T10:49:09Z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eyJoZGlkIjoiNDc1YWMyYTZhNTIzODRlNmMyMzU3M2Y4MDg4NjkxMDEiLCJ1c2VySWQiOiIxMzQ5NjQwMjQ3In0=</vt:lpwstr>
  </property>
  <property fmtid="{D5CDD505-2E9C-101B-9397-08002B2CF9AE}" pid="3" name="KSOProductBuildVer">
    <vt:lpwstr>2052-12.1.0.28505</vt:lpwstr>
  </property>
  <property fmtid="{D5CDD505-2E9C-101B-9397-08002B2CF9AE}" pid="4" name="ICV">
    <vt:lpwstr>621EAA95050B42CBB03267DBC8BA7ED0_12</vt:lpwstr>
  </property>
</Properties>
</file>