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0d2e808fc72d4849" /><Relationship Type="http://schemas.openxmlformats.org/officeDocument/2006/relationships/officeDocument" Target="/word/document.xml" Id="R879745a7bb0e472f" /><Relationship Type="http://schemas.microsoft.com/office/2011/relationships/webextensiontaskpanes" Target="/word/webextensions/taskpanes.xml" Id="Rdf3c1d6c46c64681" /><Relationship Type="http://schemas.openxmlformats.org/package/2006/relationships/metadata/core-properties" Target="/package/services/metadata/core-properties/917182b0ba604af9b13d3d2604a3ae74.psmdcp" Id="Rba5873b231054af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b4fdc940938c4873" /><Relationship Type="http://schemas.openxmlformats.org/officeDocument/2006/relationships/webSettings" Target="/word/webSettings.xml" Id="R6a0dac9e84f74485" /><Relationship Type="http://schemas.openxmlformats.org/officeDocument/2006/relationships/fontTable" Target="/word/fontTable.xml" Id="R4070e927bfb643b2" /><Relationship Type="http://schemas.openxmlformats.org/officeDocument/2006/relationships/settings" Target="/word/settings.xml" Id="R730707b1854d46fc" /><Relationship Type="http://schemas.openxmlformats.org/officeDocument/2006/relationships/styles" Target="/word/styles.xml" Id="Ra6486f1bd771411a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aaae1c8daf2c4149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aaae1c8daf2c4149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caad78ed-602c-47ec-b3a4-d97eb8a44904}">
  <we:reference id="49c9d863-d9de-4e7f-8f08-327b968b7f25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