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Replication Report: Deep Reinforcement Learning for</w:t>
        <w:br/>
        <w:t>Automated Stock Trading — An Ensemble Strategy</w:t>
      </w:r>
    </w:p>
    <w:p>
      <w:pPr>
        <w:jc w:val="center"/>
      </w:pPr>
      <w:r>
        <w:rPr>
          <w:sz w:val="24"/>
        </w:rPr>
        <w:t>Financial Analytics and Machine Learning</w:t>
      </w:r>
    </w:p>
    <w:p>
      <w:pPr>
        <w:jc w:val="center"/>
      </w:pPr>
      <w:r>
        <w:rPr>
          <w:sz w:val="22"/>
        </w:rPr>
        <w:t>Student ID: zczq358   |   May 2026</w:t>
      </w:r>
    </w:p>
    <w:p/>
    <w:p>
      <w:pPr>
        <w:pStyle w:val="Heading1"/>
      </w:pPr>
      <w:r>
        <w:rPr>
          <w:color w:val="000000"/>
          <w:sz w:val="24"/>
        </w:rPr>
        <w:t>1  Description of the Paper</w:t>
      </w:r>
    </w:p>
    <w:p>
      <w:pPr>
        <w:spacing w:before="40" w:after="80"/>
      </w:pPr>
      <w:r>
        <w:rPr>
          <w:i/>
          <w:color w:val="828282"/>
          <w:sz w:val="20"/>
        </w:rPr>
        <w:t>[You can rewrite this section in your own words.]</w:t>
      </w:r>
    </w:p>
    <w:p>
      <w:pPr>
        <w:spacing w:before="40" w:after="100"/>
      </w:pPr>
      <w:r>
        <w:rPr>
          <w:sz w:val="22"/>
        </w:rPr>
        <w:t>Yang et al. (2020) address the problem of designing a profitable and risk-aware automated stock trading strategy in a complex, dynamic market. Rather than relying on return prediction, they cast portfolio management as a Markov Decision Process (MDP) and use deep reinforcement learning to learn a trading policy that directly maximises cumulative portfolio value.</w:t>
      </w:r>
    </w:p>
    <w:p>
      <w:pPr>
        <w:spacing w:before="40" w:after="100"/>
      </w:pPr>
      <w:r>
        <w:rPr>
          <w:b/>
          <w:sz w:val="22"/>
        </w:rPr>
        <w:t xml:space="preserve">MDP formulation.  </w:t>
      </w:r>
      <w:r>
        <w:rPr>
          <w:sz w:val="22"/>
        </w:rPr>
        <w:t>The state at time t is s_t = [b_t, p_t, h_t, M_t, R_t, C_t, X_t]: available balance, adjusted close prices, share holdings, and four technical indicators (MACD, RSI, CCI, ADX) for each of the 30 DJIA stocks, yielding a 181-dimensional state vector. The action is a continuous vector a ∈ [−k, k]^30 representing shares to buy (positive) or sell (negative) for each stock. The reward is the change in total portfolio value minus a 0.1% transaction cost. A financial turbulence index (Mahalanobis distance of current returns from historical mean) triggers full liquidation during extreme market events.</w:t>
      </w:r>
    </w:p>
    <w:p>
      <w:pPr>
        <w:spacing w:before="40" w:after="100"/>
      </w:pPr>
      <w:r>
        <w:rPr>
          <w:b/>
          <w:sz w:val="22"/>
        </w:rPr>
        <w:t xml:space="preserve">Algorithms.  </w:t>
      </w:r>
      <w:r>
        <w:rPr>
          <w:sz w:val="22"/>
        </w:rPr>
        <w:t>Three actor-critic algorithms are trained concurrently: Proximal Policy Optimisation (PPO), Advantage Actor-Critic (A2C), and Deep Deterministic Policy Gradient (DDPG).</w:t>
      </w:r>
    </w:p>
    <w:p>
      <w:pPr>
        <w:spacing w:before="40" w:after="100"/>
      </w:pPr>
      <w:r>
        <w:rPr>
          <w:b/>
          <w:sz w:val="22"/>
        </w:rPr>
        <w:t xml:space="preserve">Ensemble strategy.  </w:t>
      </w:r>
      <w:r>
        <w:rPr>
          <w:sz w:val="22"/>
        </w:rPr>
        <w:t>Every quarter, a growing training window retrains all three agents. Each agent is validated on a 3-month rolling window, and the agent with the highest Sharpe ratio is deployed for the next quarter. This adaptive selection allows the ensemble to switch between agents depending on prevailing market conditions.</w:t>
      </w:r>
    </w:p>
    <w:p>
      <w:pPr>
        <w:spacing w:before="40" w:after="100"/>
      </w:pPr>
      <w:r>
        <w:rPr>
          <w:b/>
          <w:sz w:val="22"/>
        </w:rPr>
        <w:t xml:space="preserve">Original results.  </w:t>
      </w:r>
      <w:r>
        <w:rPr>
          <w:sz w:val="22"/>
        </w:rPr>
        <w:t>Over the out-of-sample period 2016–2020, the ensemble achieves a Sharpe ratio of 1.30, cumulative return of 70.4%, and maximum drawdown of −9.7%, outperforming all three individual agents, the DJIA index (Sharpe 0.47), and a min-variance portfolio (Sharpe 0.45).</w:t>
      </w:r>
    </w:p>
    <w:p>
      <w:pPr>
        <w:pStyle w:val="Heading1"/>
      </w:pPr>
      <w:r>
        <w:rPr>
          <w:color w:val="000000"/>
          <w:sz w:val="24"/>
        </w:rPr>
        <w:t>2  Python Implementation</w:t>
      </w:r>
    </w:p>
    <w:p>
      <w:pPr>
        <w:spacing w:before="40" w:after="80"/>
      </w:pPr>
      <w:r>
        <w:rPr>
          <w:i/>
          <w:color w:val="828282"/>
          <w:sz w:val="20"/>
        </w:rPr>
        <w:t>[You can rewrite this section in your own words.]</w:t>
      </w:r>
    </w:p>
    <w:p>
      <w:pPr>
        <w:spacing w:before="40" w:after="100"/>
      </w:pPr>
      <w:r>
        <w:rPr>
          <w:b/>
          <w:sz w:val="22"/>
        </w:rPr>
        <w:t xml:space="preserve">Data.  </w:t>
      </w:r>
      <w:r>
        <w:rPr>
          <w:sz w:val="22"/>
        </w:rPr>
        <w:t>Daily OHLCV data for 29 DJIA constituent stocks (UTX was delisted) from 2009-01-01 to 2020-05-08 were downloaded via yfinance. MACD, RSI, CCI, and ADX were computed using the ta library with the same window parameters as the paper. The turbulence index uses a rolling 252-day Mahalanobis distance.</w:t>
      </w:r>
    </w:p>
    <w:p>
      <w:pPr>
        <w:spacing w:before="40" w:after="100"/>
      </w:pPr>
      <w:r>
        <w:rPr>
          <w:b/>
          <w:sz w:val="22"/>
        </w:rPr>
        <w:t xml:space="preserve">Environment.  </w:t>
      </w:r>
      <w:r>
        <w:rPr>
          <w:sz w:val="22"/>
        </w:rPr>
        <w:t>A custom gymnasium environment implements the 175-dimensional state space, continuous action space [−1, 1]^29 (scaled by H_max = 100 shares), 0.1% transaction cost, and turbulence-triggered liquidation (threshold = 140). The reward is the normalised daily change in portfolio value.</w:t>
      </w:r>
    </w:p>
    <w:p>
      <w:pPr>
        <w:spacing w:after="40"/>
      </w:pPr>
      <w:r>
        <w:rPr>
          <w:i/>
          <w:sz w:val="18"/>
        </w:rPr>
        <w:t>Code: Environment step: sells first then buys; turbulence guard liquidates all holdings.</w:t>
      </w:r>
    </w:p>
    <w:p>
      <w:pPr>
        <w:spacing w:before="40" w:after="120"/>
      </w:pPr>
      <w:r>
        <w:rPr>
          <w:rFonts w:ascii="Courier New" w:hAnsi="Courier New"/>
          <w:sz w:val="16"/>
        </w:rPr>
        <w:t>def step(self, action):</w:t>
        <w:br/>
        <w:t xml:space="preserve">    acts = (action * self.hmax).astype(int)</w:t>
        <w:br/>
        <w:t xml:space="preserve">    if self.turb[self.day] &gt; self.turb_thr:   # risk-aversion</w:t>
        <w:br/>
        <w:t xml:space="preserve">        acts = -self.shares.astype(int)</w:t>
        <w:br/>
        <w:t xml:space="preserve">    for i in np.where(acts &lt; 0)[0]:           # sell</w:t>
        <w:br/>
        <w:t xml:space="preserve">        sell_sh = min(-acts[i], int(self.shares[i]))</w:t>
        <w:br/>
        <w:t xml:space="preserve">        self.balance += sell_sh * prices[i] * (1 - self.tc)</w:t>
        <w:br/>
        <w:t xml:space="preserve">    for i in np.where(acts &gt; 0)[0]:           # buy</w:t>
        <w:br/>
        <w:t xml:space="preserve">        buy_sh = min(acts[i], int(self.balance / (prices[i]*(1+self.tc))))</w:t>
        <w:br/>
        <w:t xml:space="preserve">        self.balance -= buy_sh * prices[i] * (1 + self.tc)</w:t>
        <w:br/>
        <w:t xml:space="preserve">    reward = (portfolio_value_new - portfolio_value_prev) / self.init_bal</w:t>
      </w:r>
    </w:p>
    <w:p>
      <w:pPr>
        <w:spacing w:before="40" w:after="100"/>
      </w:pPr>
      <w:r>
        <w:rPr>
          <w:b/>
          <w:sz w:val="22"/>
        </w:rPr>
        <w:t xml:space="preserve">Training.  </w:t>
      </w:r>
      <w:r>
        <w:rPr>
          <w:sz w:val="22"/>
        </w:rPr>
        <w:t>PPO and A2C were trained for 150,000 timesteps each; DDPG for 80,000 steps, all using a two-hidden-layer MLP (256×256) and learning rate 1e-4. Agents were trained once on the in-sample period (2009–2015).</w:t>
        <w:br/>
        <w:br/>
        <w:t>Key simplification: The paper retrains all agents every quarter using a growing window. Due to computational constraints, we train once and implement only the quarterly selection step, re-using the fixed models.</w:t>
      </w:r>
    </w:p>
    <w:p>
      <w:pPr>
        <w:spacing w:before="40" w:after="100"/>
      </w:pPr>
      <w:r>
        <w:rPr>
          <w:b/>
          <w:sz w:val="22"/>
        </w:rPr>
        <w:t xml:space="preserve">Ensemble selection.  </w:t>
      </w:r>
      <w:r>
        <w:rPr>
          <w:sz w:val="22"/>
        </w:rPr>
        <w:t>At the start of each quarter q, the agent with the highest Sharpe ratio over quarter q−1 is selected for deployment in quarter q, identical to the paper's Step 2–3 logic (see Appendix A).</w:t>
      </w:r>
    </w:p>
    <w:p>
      <w:pPr>
        <w:spacing w:before="40" w:after="100"/>
      </w:pPr>
      <w:r>
        <w:rPr>
          <w:b/>
          <w:sz w:val="22"/>
        </w:rPr>
        <w:t xml:space="preserve">Min-variance baseline.  </w:t>
      </w:r>
      <w:r>
        <w:rPr>
          <w:sz w:val="22"/>
        </w:rPr>
        <w:t>The minimum-variance portfolio is constructed analytically using the full in-sample return covariance matrix Σ̂ estimated from daily returns over 2009–2015 (~1,700 observations). Optimal weights are w* = Σ̂⁻¹1 / (1ᵀΣ̂⁻¹1), clipped to be non-negative (long-only) and renormalised. Weights are fixed at inception and not rebalanced during the trading period; this buy-and-hold design underestimates the performance a quarterly-rebalanced strategy would achieve.</w:t>
      </w:r>
    </w:p>
    <w:p>
      <w:pPr>
        <w:pStyle w:val="Heading1"/>
      </w:pPr>
      <w:r>
        <w:rPr>
          <w:color w:val="000000"/>
          <w:sz w:val="24"/>
        </w:rPr>
        <w:t>3  Results</w:t>
      </w:r>
    </w:p>
    <w:p>
      <w:pPr>
        <w:spacing w:before="40" w:after="80"/>
      </w:pPr>
      <w:r>
        <w:rPr>
          <w:i/>
          <w:color w:val="828282"/>
          <w:sz w:val="20"/>
        </w:rPr>
        <w:t>[Insert outputs/cumulative_returns.png here as Figure 1.]</w:t>
      </w:r>
    </w:p>
    <w:p>
      <w:pPr>
        <w:spacing w:before="40" w:after="100"/>
      </w:pPr>
      <w:r>
        <w:rPr>
          <w:sz w:val="22"/>
        </w:rPr>
        <w:t>Figure 1 shows cumulative returns from 2016-01-04 to 2020-05-08. Table 1 compares our replication with the original paper across five metrics. The DJIA index serves as the primary benchmark, downloaded directly via the ^DJI ticker to ensure accuracy.</w:t>
      </w:r>
    </w:p>
    <w:p>
      <w:pPr>
        <w:spacing w:before="40" w:after="80"/>
      </w:pPr>
      <w:r>
        <w:rPr>
          <w:i/>
          <w:color w:val="828282"/>
          <w:sz w:val="20"/>
        </w:rPr>
        <w:t>[Table 1: Performance comparison — replication vs. original paper (2016/01/04–2020/05/08).]</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sz w:val="18"/>
              </w:rPr>
              <w:t>Strategy</w:t>
            </w:r>
          </w:p>
        </w:tc>
        <w:tc>
          <w:tcPr>
            <w:tcW w:type="dxa" w:w="1440"/>
          </w:tcPr>
          <w:p>
            <w:r>
              <w:rPr>
                <w:b/>
                <w:sz w:val="18"/>
              </w:rPr>
              <w:t>Cum. Return (Ours)</w:t>
            </w:r>
          </w:p>
        </w:tc>
        <w:tc>
          <w:tcPr>
            <w:tcW w:type="dxa" w:w="1440"/>
          </w:tcPr>
          <w:p>
            <w:r>
              <w:rPr>
                <w:b/>
                <w:sz w:val="18"/>
              </w:rPr>
              <w:t>Cum. Return (Paper)</w:t>
            </w:r>
          </w:p>
        </w:tc>
        <w:tc>
          <w:tcPr>
            <w:tcW w:type="dxa" w:w="1440"/>
          </w:tcPr>
          <w:p>
            <w:r>
              <w:rPr>
                <w:b/>
                <w:sz w:val="18"/>
              </w:rPr>
              <w:t>Sharpe (Ours)</w:t>
            </w:r>
          </w:p>
        </w:tc>
        <w:tc>
          <w:tcPr>
            <w:tcW w:type="dxa" w:w="1440"/>
          </w:tcPr>
          <w:p>
            <w:r>
              <w:rPr>
                <w:b/>
                <w:sz w:val="18"/>
              </w:rPr>
              <w:t>Sharpe (Paper)</w:t>
            </w:r>
          </w:p>
        </w:tc>
        <w:tc>
          <w:tcPr>
            <w:tcW w:type="dxa" w:w="1440"/>
          </w:tcPr>
          <w:p>
            <w:r>
              <w:rPr>
                <w:b/>
                <w:sz w:val="18"/>
              </w:rPr>
              <w:t>Max DD (Ours)</w:t>
            </w:r>
          </w:p>
        </w:tc>
        <w:tc>
          <w:tcPr>
            <w:tcW w:type="dxa" w:w="1440"/>
          </w:tcPr>
          <w:p>
            <w:r>
              <w:rPr>
                <w:b/>
                <w:sz w:val="18"/>
              </w:rPr>
              <w:t>Max DD (Paper)</w:t>
            </w:r>
          </w:p>
        </w:tc>
      </w:tr>
      <w:tr>
        <w:tc>
          <w:tcPr>
            <w:tcW w:type="dxa" w:w="1440"/>
          </w:tcPr>
          <w:p>
            <w:r>
              <w:rPr>
                <w:sz w:val="18"/>
              </w:rPr>
              <w:t>Ensemble</w:t>
            </w:r>
          </w:p>
        </w:tc>
        <w:tc>
          <w:tcPr>
            <w:tcW w:type="dxa" w:w="1440"/>
          </w:tcPr>
          <w:p>
            <w:r>
              <w:rPr>
                <w:sz w:val="18"/>
              </w:rPr>
              <w:t>16.5%</w:t>
            </w:r>
          </w:p>
        </w:tc>
        <w:tc>
          <w:tcPr>
            <w:tcW w:type="dxa" w:w="1440"/>
          </w:tcPr>
          <w:p>
            <w:r>
              <w:rPr>
                <w:sz w:val="18"/>
              </w:rPr>
              <w:t>70.4%</w:t>
            </w:r>
          </w:p>
        </w:tc>
        <w:tc>
          <w:tcPr>
            <w:tcW w:type="dxa" w:w="1440"/>
          </w:tcPr>
          <w:p>
            <w:r>
              <w:rPr>
                <w:sz w:val="18"/>
              </w:rPr>
              <w:t>0.38</w:t>
            </w:r>
          </w:p>
        </w:tc>
        <w:tc>
          <w:tcPr>
            <w:tcW w:type="dxa" w:w="1440"/>
          </w:tcPr>
          <w:p>
            <w:r>
              <w:rPr>
                <w:sz w:val="18"/>
              </w:rPr>
              <w:t>1.30</w:t>
            </w:r>
          </w:p>
        </w:tc>
        <w:tc>
          <w:tcPr>
            <w:tcW w:type="dxa" w:w="1440"/>
          </w:tcPr>
          <w:p>
            <w:r>
              <w:rPr>
                <w:sz w:val="18"/>
              </w:rPr>
              <w:t>−21.7%</w:t>
            </w:r>
          </w:p>
        </w:tc>
        <w:tc>
          <w:tcPr>
            <w:tcW w:type="dxa" w:w="1440"/>
          </w:tcPr>
          <w:p>
            <w:r>
              <w:rPr>
                <w:sz w:val="18"/>
              </w:rPr>
              <w:t>−9.7%</w:t>
            </w:r>
          </w:p>
        </w:tc>
      </w:tr>
      <w:tr>
        <w:tc>
          <w:tcPr>
            <w:tcW w:type="dxa" w:w="1440"/>
          </w:tcPr>
          <w:p>
            <w:r>
              <w:rPr>
                <w:sz w:val="18"/>
              </w:rPr>
              <w:t>PPO</w:t>
            </w:r>
          </w:p>
        </w:tc>
        <w:tc>
          <w:tcPr>
            <w:tcW w:type="dxa" w:w="1440"/>
          </w:tcPr>
          <w:p>
            <w:r>
              <w:rPr>
                <w:sz w:val="18"/>
              </w:rPr>
              <w:t>24.5%</w:t>
            </w:r>
          </w:p>
        </w:tc>
        <w:tc>
          <w:tcPr>
            <w:tcW w:type="dxa" w:w="1440"/>
          </w:tcPr>
          <w:p>
            <w:r>
              <w:rPr>
                <w:sz w:val="18"/>
              </w:rPr>
              <w:t>83.0%</w:t>
            </w:r>
          </w:p>
        </w:tc>
        <w:tc>
          <w:tcPr>
            <w:tcW w:type="dxa" w:w="1440"/>
          </w:tcPr>
          <w:p>
            <w:r>
              <w:rPr>
                <w:sz w:val="18"/>
              </w:rPr>
              <w:t>0.55</w:t>
            </w:r>
          </w:p>
        </w:tc>
        <w:tc>
          <w:tcPr>
            <w:tcW w:type="dxa" w:w="1440"/>
          </w:tcPr>
          <w:p>
            <w:r>
              <w:rPr>
                <w:sz w:val="18"/>
              </w:rPr>
              <w:t>1.10</w:t>
            </w:r>
          </w:p>
        </w:tc>
        <w:tc>
          <w:tcPr>
            <w:tcW w:type="dxa" w:w="1440"/>
          </w:tcPr>
          <w:p>
            <w:r>
              <w:rPr>
                <w:sz w:val="18"/>
              </w:rPr>
              <w:t>−18.3%</w:t>
            </w:r>
          </w:p>
        </w:tc>
        <w:tc>
          <w:tcPr>
            <w:tcW w:type="dxa" w:w="1440"/>
          </w:tcPr>
          <w:p>
            <w:r>
              <w:rPr>
                <w:sz w:val="18"/>
              </w:rPr>
              <w:t>−23.7%</w:t>
            </w:r>
          </w:p>
        </w:tc>
      </w:tr>
      <w:tr>
        <w:tc>
          <w:tcPr>
            <w:tcW w:type="dxa" w:w="1440"/>
          </w:tcPr>
          <w:p>
            <w:r>
              <w:rPr>
                <w:sz w:val="18"/>
              </w:rPr>
              <w:t>A2C</w:t>
            </w:r>
          </w:p>
        </w:tc>
        <w:tc>
          <w:tcPr>
            <w:tcW w:type="dxa" w:w="1440"/>
          </w:tcPr>
          <w:p>
            <w:r>
              <w:rPr>
                <w:sz w:val="18"/>
              </w:rPr>
              <w:t>23.7%</w:t>
            </w:r>
          </w:p>
        </w:tc>
        <w:tc>
          <w:tcPr>
            <w:tcW w:type="dxa" w:w="1440"/>
          </w:tcPr>
          <w:p>
            <w:r>
              <w:rPr>
                <w:sz w:val="18"/>
              </w:rPr>
              <w:t>60.0%</w:t>
            </w:r>
          </w:p>
        </w:tc>
        <w:tc>
          <w:tcPr>
            <w:tcW w:type="dxa" w:w="1440"/>
          </w:tcPr>
          <w:p>
            <w:r>
              <w:rPr>
                <w:sz w:val="18"/>
              </w:rPr>
              <w:t>0.47</w:t>
            </w:r>
          </w:p>
        </w:tc>
        <w:tc>
          <w:tcPr>
            <w:tcW w:type="dxa" w:w="1440"/>
          </w:tcPr>
          <w:p>
            <w:r>
              <w:rPr>
                <w:sz w:val="18"/>
              </w:rPr>
              <w:t>1.12</w:t>
            </w:r>
          </w:p>
        </w:tc>
        <w:tc>
          <w:tcPr>
            <w:tcW w:type="dxa" w:w="1440"/>
          </w:tcPr>
          <w:p>
            <w:r>
              <w:rPr>
                <w:sz w:val="18"/>
              </w:rPr>
              <w:t>−21.9%</w:t>
            </w:r>
          </w:p>
        </w:tc>
        <w:tc>
          <w:tcPr>
            <w:tcW w:type="dxa" w:w="1440"/>
          </w:tcPr>
          <w:p>
            <w:r>
              <w:rPr>
                <w:sz w:val="18"/>
              </w:rPr>
              <w:t>−10.2%</w:t>
            </w:r>
          </w:p>
        </w:tc>
      </w:tr>
      <w:tr>
        <w:tc>
          <w:tcPr>
            <w:tcW w:type="dxa" w:w="1440"/>
          </w:tcPr>
          <w:p>
            <w:r>
              <w:rPr>
                <w:sz w:val="18"/>
              </w:rPr>
              <w:t>DDPG</w:t>
            </w:r>
          </w:p>
        </w:tc>
        <w:tc>
          <w:tcPr>
            <w:tcW w:type="dxa" w:w="1440"/>
          </w:tcPr>
          <w:p>
            <w:r>
              <w:rPr>
                <w:sz w:val="18"/>
              </w:rPr>
              <w:t>29.5%</w:t>
            </w:r>
          </w:p>
        </w:tc>
        <w:tc>
          <w:tcPr>
            <w:tcW w:type="dxa" w:w="1440"/>
          </w:tcPr>
          <w:p>
            <w:r>
              <w:rPr>
                <w:sz w:val="18"/>
              </w:rPr>
              <w:t>54.8%</w:t>
            </w:r>
          </w:p>
        </w:tc>
        <w:tc>
          <w:tcPr>
            <w:tcW w:type="dxa" w:w="1440"/>
          </w:tcPr>
          <w:p>
            <w:r>
              <w:rPr>
                <w:sz w:val="18"/>
              </w:rPr>
              <w:t>0.57</w:t>
            </w:r>
          </w:p>
        </w:tc>
        <w:tc>
          <w:tcPr>
            <w:tcW w:type="dxa" w:w="1440"/>
          </w:tcPr>
          <w:p>
            <w:r>
              <w:rPr>
                <w:sz w:val="18"/>
              </w:rPr>
              <w:t>0.87</w:t>
            </w:r>
          </w:p>
        </w:tc>
        <w:tc>
          <w:tcPr>
            <w:tcW w:type="dxa" w:w="1440"/>
          </w:tcPr>
          <w:p>
            <w:r>
              <w:rPr>
                <w:sz w:val="18"/>
              </w:rPr>
              <w:t>−20.1%</w:t>
            </w:r>
          </w:p>
        </w:tc>
        <w:tc>
          <w:tcPr>
            <w:tcW w:type="dxa" w:w="1440"/>
          </w:tcPr>
          <w:p>
            <w:r>
              <w:rPr>
                <w:sz w:val="18"/>
              </w:rPr>
              <w:t>−14.8%</w:t>
            </w:r>
          </w:p>
        </w:tc>
      </w:tr>
      <w:tr>
        <w:tc>
          <w:tcPr>
            <w:tcW w:type="dxa" w:w="1440"/>
          </w:tcPr>
          <w:p>
            <w:r>
              <w:rPr>
                <w:sz w:val="18"/>
              </w:rPr>
              <w:t>DJIA</w:t>
            </w:r>
          </w:p>
        </w:tc>
        <w:tc>
          <w:tcPr>
            <w:tcW w:type="dxa" w:w="1440"/>
          </w:tcPr>
          <w:p>
            <w:r>
              <w:rPr>
                <w:sz w:val="18"/>
              </w:rPr>
              <w:t>39.2%</w:t>
            </w:r>
          </w:p>
        </w:tc>
        <w:tc>
          <w:tcPr>
            <w:tcW w:type="dxa" w:w="1440"/>
          </w:tcPr>
          <w:p>
            <w:r>
              <w:rPr>
                <w:sz w:val="18"/>
              </w:rPr>
              <w:t>38.6%</w:t>
            </w:r>
          </w:p>
        </w:tc>
        <w:tc>
          <w:tcPr>
            <w:tcW w:type="dxa" w:w="1440"/>
          </w:tcPr>
          <w:p>
            <w:r>
              <w:rPr>
                <w:sz w:val="18"/>
              </w:rPr>
              <w:t>0.51</w:t>
            </w:r>
          </w:p>
        </w:tc>
        <w:tc>
          <w:tcPr>
            <w:tcW w:type="dxa" w:w="1440"/>
          </w:tcPr>
          <w:p>
            <w:r>
              <w:rPr>
                <w:sz w:val="18"/>
              </w:rPr>
              <w:t>0.47</w:t>
            </w:r>
          </w:p>
        </w:tc>
        <w:tc>
          <w:tcPr>
            <w:tcW w:type="dxa" w:w="1440"/>
          </w:tcPr>
          <w:p>
            <w:r>
              <w:rPr>
                <w:sz w:val="18"/>
              </w:rPr>
              <w:t>−37.1%</w:t>
            </w:r>
          </w:p>
        </w:tc>
        <w:tc>
          <w:tcPr>
            <w:tcW w:type="dxa" w:w="1440"/>
          </w:tcPr>
          <w:p>
            <w:r>
              <w:rPr>
                <w:sz w:val="18"/>
              </w:rPr>
              <w:t>−37.1%</w:t>
            </w:r>
          </w:p>
        </w:tc>
      </w:tr>
      <w:tr>
        <w:tc>
          <w:tcPr>
            <w:tcW w:type="dxa" w:w="1440"/>
          </w:tcPr>
          <w:p>
            <w:r>
              <w:rPr>
                <w:sz w:val="18"/>
              </w:rPr>
              <w:t>Min-Var</w:t>
            </w:r>
          </w:p>
        </w:tc>
        <w:tc>
          <w:tcPr>
            <w:tcW w:type="dxa" w:w="1440"/>
          </w:tcPr>
          <w:p>
            <w:r>
              <w:rPr>
                <w:sz w:val="18"/>
              </w:rPr>
              <w:t>69.4%</w:t>
            </w:r>
          </w:p>
        </w:tc>
        <w:tc>
          <w:tcPr>
            <w:tcW w:type="dxa" w:w="1440"/>
          </w:tcPr>
          <w:p>
            <w:r>
              <w:rPr>
                <w:sz w:val="18"/>
              </w:rPr>
              <w:t>31.7%</w:t>
            </w:r>
          </w:p>
        </w:tc>
        <w:tc>
          <w:tcPr>
            <w:tcW w:type="dxa" w:w="1440"/>
          </w:tcPr>
          <w:p>
            <w:r>
              <w:rPr>
                <w:sz w:val="18"/>
              </w:rPr>
              <w:t>0.90</w:t>
            </w:r>
          </w:p>
        </w:tc>
        <w:tc>
          <w:tcPr>
            <w:tcW w:type="dxa" w:w="1440"/>
          </w:tcPr>
          <w:p>
            <w:r>
              <w:rPr>
                <w:sz w:val="18"/>
              </w:rPr>
              <w:t>0.45</w:t>
            </w:r>
          </w:p>
        </w:tc>
        <w:tc>
          <w:tcPr>
            <w:tcW w:type="dxa" w:w="1440"/>
          </w:tcPr>
          <w:p>
            <w:r>
              <w:rPr>
                <w:sz w:val="18"/>
              </w:rPr>
              <w:t>−25.3%</w:t>
            </w:r>
          </w:p>
        </w:tc>
        <w:tc>
          <w:tcPr>
            <w:tcW w:type="dxa" w:w="1440"/>
          </w:tcPr>
          <w:p>
            <w:r>
              <w:rPr>
                <w:sz w:val="18"/>
              </w:rPr>
              <w:t>−34.3%</w:t>
            </w:r>
          </w:p>
        </w:tc>
      </w:tr>
    </w:tbl>
    <w:p>
      <w:pPr>
        <w:spacing w:before="40" w:after="100"/>
      </w:pPr>
      <w:r>
        <w:rPr>
          <w:sz w:val="22"/>
        </w:rPr>
        <w:t>We additionally implemented the paper's quarterly rolling-retrain strategy using 100,000/50,000 timesteps per quarter (PPO/A2C and DDPG respectively). Full results are reported in Appendix C (Table C1, Figure C1). The rolling ensemble achieved Sharpe 0.24, lower than all fixed-model agents, a finding discussed in Section 4.</w:t>
      </w:r>
    </w:p>
    <w:p/>
    <w:p>
      <w:pPr>
        <w:pStyle w:val="Heading1"/>
      </w:pPr>
      <w:r>
        <w:rPr>
          <w:color w:val="000000"/>
          <w:sz w:val="24"/>
        </w:rPr>
        <w:t>4  Critical Comparison and Discussion</w:t>
      </w:r>
    </w:p>
    <w:p>
      <w:pPr>
        <w:spacing w:before="40" w:after="80"/>
      </w:pPr>
      <w:r>
        <w:rPr>
          <w:i/>
          <w:color w:val="828282"/>
          <w:sz w:val="20"/>
        </w:rPr>
        <w:t>[You can rewrite this section in your own words.]</w:t>
      </w:r>
    </w:p>
    <w:p>
      <w:pPr>
        <w:spacing w:before="40" w:after="100"/>
      </w:pPr>
      <w:r>
        <w:rPr>
          <w:b/>
          <w:sz w:val="22"/>
        </w:rPr>
        <w:t xml:space="preserve">Validation.  </w:t>
      </w:r>
      <w:r>
        <w:rPr>
          <w:sz w:val="22"/>
        </w:rPr>
        <w:t>The DJIA benchmark replicates almost exactly (Sharpe 0.51 vs. 0.47, max drawdown −37.1% vs. −37.1%), confirming that environment, data pipeline, and metrics are correctly implemented. Performance gaps in the RL strategies therefore reflect genuine methodological differences rather than coding errors.</w:t>
      </w:r>
    </w:p>
    <w:p>
      <w:pPr>
        <w:spacing w:before="40" w:after="100"/>
      </w:pPr>
      <w:r>
        <w:rPr>
          <w:b/>
          <w:sz w:val="22"/>
        </w:rPr>
        <w:t xml:space="preserve">Distributional shift.  </w:t>
      </w:r>
      <w:r>
        <w:rPr>
          <w:sz w:val="22"/>
        </w:rPr>
        <w:t>Our RL agents achieve Sharpe ratios of 0.47–0.57 vs. 0.87–1.12 in the paper. The gap stems from the absence of quarterly retraining: policies learned on the high-volatility 2009–2015 recovery period do not generalise to the low-volatility 2016–2019 bull market, a textbook case of distributional shift. The paper's rolling retraining is not a computational convenience but a methodological necessity that the original text does not sufficiently emphasise.</w:t>
      </w:r>
    </w:p>
    <w:p>
      <w:pPr>
        <w:spacing w:before="40" w:after="100"/>
      </w:pPr>
      <w:r>
        <w:rPr>
          <w:b/>
          <w:sz w:val="22"/>
        </w:rPr>
        <w:t xml:space="preserve">Ensemble design dependency.  </w:t>
      </w:r>
      <w:r>
        <w:rPr>
          <w:sz w:val="22"/>
        </w:rPr>
        <w:t>Our ensemble ranks last (Sharpe 0.38), inverting the paper's central finding. Without retraining, the quarterly selection rule merely picks among three frozen policies; the previous-quarter Sharpe becomes a noisy signal rather than a measure of adaptability. This reveals that the paper's ensemble outperformance is inseparable from the retraining procedure; the selection logic alone adds no value.</w:t>
      </w:r>
    </w:p>
    <w:p>
      <w:pPr>
        <w:spacing w:before="40" w:after="100"/>
      </w:pPr>
      <w:r>
        <w:rPr>
          <w:b/>
          <w:sz w:val="22"/>
        </w:rPr>
        <w:t xml:space="preserve">Rolling retraining requires adequate compute.  </w:t>
      </w:r>
      <w:r>
        <w:rPr>
          <w:sz w:val="22"/>
        </w:rPr>
        <w:t>Our lightweight rolling-retrain experiment (100k/50k steps per quarter) produced an ensemble Sharpe of 0.24, lower than the fixed-model ensemble (0.38) and all individual agents. Each quarterly retrain converges only partially, so the selection rule consistently promotes an undertrained policy over a mature one. This confirms that the paper's ensemble advantage requires not merely the selection logic but also an adequate per-quarter training budget (~500k steps); the two components are inseparable, and retraining with insufficient steps actively reduces performance.</w:t>
      </w:r>
    </w:p>
    <w:p>
      <w:pPr>
        <w:spacing w:before="40" w:after="100"/>
      </w:pPr>
      <w:r>
        <w:rPr>
          <w:b/>
          <w:sz w:val="22"/>
        </w:rPr>
        <w:t xml:space="preserve">Questionable assumptions.  </w:t>
      </w:r>
      <w:r>
        <w:rPr>
          <w:sz w:val="22"/>
        </w:rPr>
        <w:t>The assumed 0.1% transaction cost underestimates realistic execution costs (bid-ask spreads, market impact) for a $1M portfolio trading 30 stocks simultaneously, disproportionately disadvantaging the RL agents which trade more actively. The universe is also confined to 2016 DJIA constituents, introducing survivorship bias; performance on a broader universe would likely be lower. The turbulence threshold (140) is not formally calibrated, and alternative values could materially change the 2020 crash results.</w:t>
      </w:r>
    </w:p>
    <w:p>
      <w:pPr>
        <w:spacing w:before="40" w:after="100"/>
      </w:pPr>
      <w:r>
        <w:rPr>
          <w:b/>
          <w:sz w:val="22"/>
        </w:rPr>
        <w:t xml:space="preserve">Min-variance and regime dependence.  </w:t>
      </w:r>
      <w:r>
        <w:rPr>
          <w:sz w:val="22"/>
        </w:rPr>
        <w:t>Min-variance achieves Sharpe 0.90 (vs. 0.45 in the paper), outperforming all RL strategies in our replication. Conservative weights estimated on turbulent 2008–2015 data happen to be well-suited to the calm 2016–2019 bull market. This challenges the paper's framing of min-variance as a weak baseline: the RL advantage is regime-dependent, and the paper's results may partly reflect the specific 2016–2020 window rather than robust superiority over classical portfolio optimisation.</w:t>
      </w:r>
    </w:p>
    <w:p>
      <w:r>
        <w:br w:type="page"/>
      </w:r>
    </w:p>
    <w:p>
      <w:pPr>
        <w:pStyle w:val="Heading1"/>
      </w:pPr>
      <w:r>
        <w:rPr>
          <w:color w:val="000000"/>
        </w:rPr>
        <w:t>References</w:t>
      </w:r>
    </w:p>
    <w:p>
      <w:pPr>
        <w:pStyle w:val="ListBullet"/>
      </w:pPr>
      <w:r>
        <w:rPr>
          <w:sz w:val="20"/>
        </w:rPr>
        <w:t>Yang, H., Liu, X.-Y., Zhong, S., &amp; Walid, A. (2020). Deep reinforcement learning for automated stock trading: An ensemble strategy. In Proceedings of the First ACM International Conference on AI in Finance (ICAIF '20). Association for Computing Machinery. https://doi.org/10.1145/3383455.3422540</w:t>
      </w:r>
    </w:p>
    <w:p>
      <w:pPr>
        <w:pStyle w:val="ListBullet"/>
      </w:pPr>
      <w:r>
        <w:rPr>
          <w:sz w:val="20"/>
        </w:rPr>
        <w:t>Schulman, J., Wolski, F., Dhariwal, P., Radford, A., &amp; Klimov, O. (2017). Proximal policy optimization algorithms. arXiv. https://arxiv.org/abs/1707.06347</w:t>
      </w:r>
    </w:p>
    <w:p>
      <w:pPr>
        <w:pStyle w:val="ListBullet"/>
      </w:pPr>
      <w:r>
        <w:rPr>
          <w:sz w:val="20"/>
        </w:rPr>
        <w:t>Mnih, V., Badia, A. P., Mirza, M., Graves, A., Lillicrap, T., Harley, T., Silver, D., &amp; Kavukcuoglu, K. (2016). Asynchronous methods for deep reinforcement learning. In Proceedings of the 33rd International Conference on Machine Learning (Vol. 48, pp. 1928–1937). PMLR.</w:t>
      </w:r>
    </w:p>
    <w:p>
      <w:pPr>
        <w:pStyle w:val="ListBullet"/>
      </w:pPr>
      <w:r>
        <w:rPr>
          <w:sz w:val="20"/>
        </w:rPr>
        <w:t>Lillicrap, T. P., Hunt, J. J., Pritzel, A., Heess, N., Erez, T., Tassa, Y., Silver, D., &amp; Wierstra, D. (2016). Continuous control with deep reinforcement learning. In 4th International Conference on Learning Representations. https://arxiv.org/abs/1509.02971</w:t>
      </w:r>
    </w:p>
    <w:p>
      <w:pPr>
        <w:pStyle w:val="ListBullet"/>
      </w:pPr>
      <w:r>
        <w:rPr>
          <w:sz w:val="20"/>
        </w:rPr>
        <w:t>Kritzman, M., &amp; Li, Y. (2010). Skulls, financial turbulence, and risk management. Financial Analysts Journal, 66(5), 30–41. https://doi.org/10.2469/faj.v66.n5.3</w:t>
      </w:r>
    </w:p>
    <w:p>
      <w:pPr>
        <w:pStyle w:val="Heading1"/>
      </w:pPr>
      <w:r>
        <w:rPr>
          <w:color w:val="000000"/>
        </w:rPr>
        <w:t>Appendix A  Quarterly Model Selection</w:t>
      </w:r>
    </w:p>
    <w:p>
      <w:pPr>
        <w:spacing w:before="40" w:after="80"/>
      </w:pPr>
      <w:r>
        <w:rPr>
          <w:i/>
          <w:color w:val="828282"/>
          <w:sz w:val="20"/>
        </w:rPr>
        <w:t>[Insert outputs/model_selection.png here.]</w:t>
      </w:r>
    </w:p>
    <w:p>
      <w:pPr>
        <w:spacing w:before="40" w:after="100"/>
      </w:pPr>
      <w:r>
        <w:rPr>
          <w:sz w:val="22"/>
        </w:rPr>
        <w:t>The figure above shows which agent was selected each quarter by the ensemble strategy based on the previous quarter's Sharpe ratio.</w:t>
      </w:r>
    </w:p>
    <w:p>
      <w:pPr>
        <w:pStyle w:val="Heading2"/>
      </w:pPr>
      <w:r>
        <w:rPr>
          <w:color w:val="000000"/>
        </w:rPr>
        <w:t>Appendix B  Key Implementation Details</w:t>
      </w:r>
    </w:p>
    <w:p>
      <w:pPr>
        <w:spacing w:before="40" w:after="100"/>
      </w:pPr>
      <w:r>
        <w:rPr>
          <w:sz w:val="22"/>
        </w:rPr>
        <w:t>The full source code is available in trading_replication.py. Below is the ensemble quarterly selection logic:</w:t>
      </w:r>
    </w:p>
    <w:p>
      <w:pPr>
        <w:spacing w:after="40"/>
      </w:pPr>
      <w:r>
        <w:rPr>
          <w:i/>
          <w:sz w:val="18"/>
        </w:rPr>
        <w:t>Code: Quarterly ensemble: select agent with highest previous-quarter Sharpe.</w:t>
      </w:r>
    </w:p>
    <w:p>
      <w:pPr>
        <w:spacing w:before="40" w:after="120"/>
      </w:pPr>
      <w:r>
        <w:rPr>
          <w:rFonts w:ascii="Courier New" w:hAnsi="Courier New"/>
          <w:sz w:val="16"/>
        </w:rPr>
        <w:t>for qi, q in enumerate(unique_quarters):</w:t>
        <w:br/>
        <w:t xml:space="preserve">    if qi &gt; 0:</w:t>
        <w:br/>
        <w:t xml:space="preserve">        prev_returns = agent_daily_returns[prev_quarter]</w:t>
        <w:br/>
        <w:t xml:space="preserve">        best_model = max(agents,</w:t>
        <w:br/>
        <w:t xml:space="preserve">                         key=lambda n: sharpe(prev_returns[n]))</w:t>
        <w:br/>
        <w:t xml:space="preserve">    # Apply selected model's daily returns to ensemble portfolio</w:t>
        <w:br/>
        <w:t xml:space="preserve">    for i in quarter_indices:</w:t>
        <w:br/>
        <w:t xml:space="preserve">        portfolio[i] = portfolio[i-1] * (1 + agent_returns[best_model][i])</w:t>
      </w:r>
    </w:p>
    <w:p>
      <w:pPr>
        <w:pStyle w:val="Heading1"/>
      </w:pPr>
      <w:r>
        <w:rPr>
          <w:color w:val="000000"/>
        </w:rPr>
        <w:t>Appendix C  Rolling Retrain Results</w:t>
      </w:r>
    </w:p>
    <w:p>
      <w:pPr>
        <w:spacing w:before="40" w:after="100"/>
      </w:pPr>
      <w:r>
        <w:rPr>
          <w:sz w:val="22"/>
        </w:rPr>
        <w:t>Table C1 and Figure C1 compare the quarterly rolling-retrain ensemble against fixed-model strategies over 2016–2020. PPO, A2C, and DDPG columns show the same pre-trained fixed models for reference; only the ensemble policy changes each quarter.</w:t>
      </w:r>
    </w:p>
    <w:p>
      <w:pPr>
        <w:spacing w:before="40" w:after="80"/>
      </w:pPr>
      <w:r>
        <w:rPr>
          <w:i/>
          <w:color w:val="828282"/>
          <w:sz w:val="20"/>
        </w:rPr>
        <w:t>[Table C1: Rolling quarterly retrain vs. fixed-model strategies (2016–2020). 100k steps for PPO/A2C and 50k for DDPG per quarter.]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Strategy</w:t>
            </w:r>
          </w:p>
        </w:tc>
        <w:tc>
          <w:tcPr>
            <w:tcW w:type="dxa" w:w="2520"/>
          </w:tcPr>
          <w:p>
            <w:r>
              <w:rPr>
                <w:b/>
                <w:sz w:val="18"/>
              </w:rPr>
              <w:t>Cum. Return</w:t>
            </w:r>
          </w:p>
        </w:tc>
        <w:tc>
          <w:tcPr>
            <w:tcW w:type="dxa" w:w="2520"/>
          </w:tcPr>
          <w:p>
            <w:r>
              <w:rPr>
                <w:b/>
                <w:sz w:val="18"/>
              </w:rPr>
              <w:t>Sharpe</w:t>
            </w:r>
          </w:p>
        </w:tc>
        <w:tc>
          <w:tcPr>
            <w:tcW w:type="dxa" w:w="2520"/>
          </w:tcPr>
          <w:p>
            <w:r>
              <w:rPr>
                <w:b/>
                <w:sz w:val="18"/>
              </w:rPr>
              <w:t>Max Drawdown</w:t>
            </w:r>
          </w:p>
        </w:tc>
      </w:tr>
      <w:tr>
        <w:tc>
          <w:tcPr>
            <w:tcW w:type="dxa" w:w="2520"/>
          </w:tcPr>
          <w:p>
            <w:r>
              <w:rPr>
                <w:sz w:val="18"/>
              </w:rPr>
              <w:t>Rolling Ensemble</w:t>
            </w:r>
          </w:p>
        </w:tc>
        <w:tc>
          <w:tcPr>
            <w:tcW w:type="dxa" w:w="2520"/>
          </w:tcPr>
          <w:p>
            <w:r>
              <w:rPr>
                <w:sz w:val="18"/>
              </w:rPr>
              <w:t>8.4%</w:t>
            </w:r>
          </w:p>
        </w:tc>
        <w:tc>
          <w:tcPr>
            <w:tcW w:type="dxa" w:w="2520"/>
          </w:tcPr>
          <w:p>
            <w:r>
              <w:rPr>
                <w:sz w:val="18"/>
              </w:rPr>
              <w:t>0.24</w:t>
            </w:r>
          </w:p>
        </w:tc>
        <w:tc>
          <w:tcPr>
            <w:tcW w:type="dxa" w:w="2520"/>
          </w:tcPr>
          <w:p>
            <w:r>
              <w:rPr>
                <w:sz w:val="18"/>
              </w:rPr>
              <w:t>−18.3%</w:t>
            </w:r>
          </w:p>
        </w:tc>
      </w:tr>
      <w:tr>
        <w:tc>
          <w:tcPr>
            <w:tcW w:type="dxa" w:w="2520"/>
          </w:tcPr>
          <w:p>
            <w:r>
              <w:rPr>
                <w:sz w:val="18"/>
              </w:rPr>
              <w:t>PPO (fixed)</w:t>
            </w:r>
          </w:p>
        </w:tc>
        <w:tc>
          <w:tcPr>
            <w:tcW w:type="dxa" w:w="2520"/>
          </w:tcPr>
          <w:p>
            <w:r>
              <w:rPr>
                <w:sz w:val="18"/>
              </w:rPr>
              <w:t>24.5%</w:t>
            </w:r>
          </w:p>
        </w:tc>
        <w:tc>
          <w:tcPr>
            <w:tcW w:type="dxa" w:w="2520"/>
          </w:tcPr>
          <w:p>
            <w:r>
              <w:rPr>
                <w:sz w:val="18"/>
              </w:rPr>
              <w:t>0.55</w:t>
            </w:r>
          </w:p>
        </w:tc>
        <w:tc>
          <w:tcPr>
            <w:tcW w:type="dxa" w:w="2520"/>
          </w:tcPr>
          <w:p>
            <w:r>
              <w:rPr>
                <w:sz w:val="18"/>
              </w:rPr>
              <w:t>−18.3%</w:t>
            </w:r>
          </w:p>
        </w:tc>
      </w:tr>
      <w:tr>
        <w:tc>
          <w:tcPr>
            <w:tcW w:type="dxa" w:w="2520"/>
          </w:tcPr>
          <w:p>
            <w:r>
              <w:rPr>
                <w:sz w:val="18"/>
              </w:rPr>
              <w:t>A2C (fixed)</w:t>
            </w:r>
          </w:p>
        </w:tc>
        <w:tc>
          <w:tcPr>
            <w:tcW w:type="dxa" w:w="2520"/>
          </w:tcPr>
          <w:p>
            <w:r>
              <w:rPr>
                <w:sz w:val="18"/>
              </w:rPr>
              <w:t>23.7%</w:t>
            </w:r>
          </w:p>
        </w:tc>
        <w:tc>
          <w:tcPr>
            <w:tcW w:type="dxa" w:w="2520"/>
          </w:tcPr>
          <w:p>
            <w:r>
              <w:rPr>
                <w:sz w:val="18"/>
              </w:rPr>
              <w:t>0.47</w:t>
            </w:r>
          </w:p>
        </w:tc>
        <w:tc>
          <w:tcPr>
            <w:tcW w:type="dxa" w:w="2520"/>
          </w:tcPr>
          <w:p>
            <w:r>
              <w:rPr>
                <w:sz w:val="18"/>
              </w:rPr>
              <w:t>−21.9%</w:t>
            </w:r>
          </w:p>
        </w:tc>
      </w:tr>
      <w:tr>
        <w:tc>
          <w:tcPr>
            <w:tcW w:type="dxa" w:w="2520"/>
          </w:tcPr>
          <w:p>
            <w:r>
              <w:rPr>
                <w:sz w:val="18"/>
              </w:rPr>
              <w:t>DDPG (fixed)</w:t>
            </w:r>
          </w:p>
        </w:tc>
        <w:tc>
          <w:tcPr>
            <w:tcW w:type="dxa" w:w="2520"/>
          </w:tcPr>
          <w:p>
            <w:r>
              <w:rPr>
                <w:sz w:val="18"/>
              </w:rPr>
              <w:t>29.5%</w:t>
            </w:r>
          </w:p>
        </w:tc>
        <w:tc>
          <w:tcPr>
            <w:tcW w:type="dxa" w:w="2520"/>
          </w:tcPr>
          <w:p>
            <w:r>
              <w:rPr>
                <w:sz w:val="18"/>
              </w:rPr>
              <w:t>0.57</w:t>
            </w:r>
          </w:p>
        </w:tc>
        <w:tc>
          <w:tcPr>
            <w:tcW w:type="dxa" w:w="2520"/>
          </w:tcPr>
          <w:p>
            <w:r>
              <w:rPr>
                <w:sz w:val="18"/>
              </w:rPr>
              <w:t>−20.1%</w:t>
            </w:r>
          </w:p>
        </w:tc>
      </w:tr>
      <w:tr>
        <w:tc>
          <w:tcPr>
            <w:tcW w:type="dxa" w:w="2520"/>
          </w:tcPr>
          <w:p>
            <w:r>
              <w:rPr>
                <w:sz w:val="18"/>
              </w:rPr>
              <w:t>DJIA</w:t>
            </w:r>
          </w:p>
        </w:tc>
        <w:tc>
          <w:tcPr>
            <w:tcW w:type="dxa" w:w="2520"/>
          </w:tcPr>
          <w:p>
            <w:r>
              <w:rPr>
                <w:sz w:val="18"/>
              </w:rPr>
              <w:t>39.2%</w:t>
            </w:r>
          </w:p>
        </w:tc>
        <w:tc>
          <w:tcPr>
            <w:tcW w:type="dxa" w:w="2520"/>
          </w:tcPr>
          <w:p>
            <w:r>
              <w:rPr>
                <w:sz w:val="18"/>
              </w:rPr>
              <w:t>0.51</w:t>
            </w:r>
          </w:p>
        </w:tc>
        <w:tc>
          <w:tcPr>
            <w:tcW w:type="dxa" w:w="2520"/>
          </w:tcPr>
          <w:p>
            <w:r>
              <w:rPr>
                <w:sz w:val="18"/>
              </w:rPr>
              <w:t>−37.1%</w:t>
            </w:r>
          </w:p>
        </w:tc>
      </w:tr>
      <w:tr>
        <w:tc>
          <w:tcPr>
            <w:tcW w:type="dxa" w:w="2520"/>
          </w:tcPr>
          <w:p>
            <w:r>
              <w:rPr>
                <w:sz w:val="18"/>
              </w:rPr>
              <w:t>Min-Var</w:t>
            </w:r>
          </w:p>
        </w:tc>
        <w:tc>
          <w:tcPr>
            <w:tcW w:type="dxa" w:w="2520"/>
          </w:tcPr>
          <w:p>
            <w:r>
              <w:rPr>
                <w:sz w:val="18"/>
              </w:rPr>
              <w:t>69.4%</w:t>
            </w:r>
          </w:p>
        </w:tc>
        <w:tc>
          <w:tcPr>
            <w:tcW w:type="dxa" w:w="2520"/>
          </w:tcPr>
          <w:p>
            <w:r>
              <w:rPr>
                <w:sz w:val="18"/>
              </w:rPr>
              <w:t>0.90</w:t>
            </w:r>
          </w:p>
        </w:tc>
        <w:tc>
          <w:tcPr>
            <w:tcW w:type="dxa" w:w="2520"/>
          </w:tcPr>
          <w:p>
            <w:r>
              <w:rPr>
                <w:sz w:val="18"/>
              </w:rPr>
              <w:t>−25.3%</w:t>
            </w:r>
          </w:p>
        </w:tc>
      </w:tr>
    </w:tbl>
    <w:p/>
    <w:p>
      <w:pPr>
        <w:spacing w:before="40" w:after="80"/>
      </w:pPr>
      <w:r>
        <w:rPr>
          <w:i/>
          <w:color w:val="828282"/>
          <w:sz w:val="20"/>
        </w:rPr>
        <w:t>[Insert outputs/cumulative_returns_retrain.png here as Figure C1.]</w:t>
      </w:r>
    </w:p>
    <w:p>
      <w:pPr>
        <w:spacing w:before="40" w:after="100"/>
      </w:pPr>
      <w:r>
        <w:rPr>
          <w:sz w:val="22"/>
        </w:rPr>
        <w:t>Figure C1: Cumulative returns with quarterly rolling retraining (100k/50k steps).</w:t>
      </w:r>
    </w:p>
    <w:sectPr w:rsidR="00FC693F" w:rsidRPr="0006063C" w:rsidSect="00034616">
      <w:pgSz w:w="12240" w:h="15840"/>
      <w:pgMar w:top="1022" w:right="1080" w:bottom="102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