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合同模板</w:t>
      </w:r>
    </w:p>
    <w:p>
      <w:r>
        <w:t>本合同模板用于企业采购场景。</w:t>
      </w:r>
    </w:p>
    <w:p>
      <w:pPr>
        <w:pStyle w:val="Heading2"/>
      </w:pPr>
      <w:r>
        <w:t>付款条款</w:t>
      </w:r>
    </w:p>
    <w:p>
      <w:r>
        <w:t>甲方应在收到发票后 30 个自然日内完成付款。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条款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付款周期</w:t>
            </w:r>
          </w:p>
        </w:tc>
        <w:tc>
          <w:tcPr>
            <w:tcW w:type="dxa" w:w="2880"/>
          </w:tcPr>
          <w:p>
            <w:r>
              <w:t>30 个自然日</w:t>
            </w:r>
          </w:p>
        </w:tc>
        <w:tc>
          <w:tcPr>
            <w:tcW w:type="dxa" w:w="2880"/>
          </w:tcPr>
          <w:p>
            <w:r>
              <w:t>以合同约定为准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