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黑体"/>
          <w:b/>
          <w:sz w:val="40"/>
        </w:rPr>
        <w:t>OA2 答复修改建议</w:t>
      </w:r>
    </w:p>
    <w:p>
      <w:r>
        <w:rPr>
          <w:rFonts w:ascii="Times New Roman" w:hAnsi="Times New Roman" w:eastAsia="宋体"/>
          <w:b/>
        </w:rPr>
        <w:t>申请号</w:t>
      </w:r>
      <w:r>
        <w:rPr>
          <w:rFonts w:ascii="Times New Roman" w:hAnsi="Times New Roman" w:eastAsia="宋体"/>
        </w:rPr>
        <w:t>：202610849028.5（2026108490285），公开号 CN122388163A</w:t>
      </w:r>
    </w:p>
    <w:p>
      <w:r>
        <w:rPr>
          <w:rFonts w:ascii="Times New Roman" w:hAnsi="Times New Roman" w:eastAsia="宋体"/>
          <w:b/>
        </w:rPr>
        <w:t>发明名称</w:t>
      </w:r>
      <w:r>
        <w:rPr>
          <w:rFonts w:ascii="Times New Roman" w:hAnsi="Times New Roman" w:eastAsia="宋体"/>
        </w:rPr>
        <w:t>：一种多维路由决策检索方法及设备</w:t>
      </w:r>
    </w:p>
    <w:p>
      <w:r>
        <w:rPr>
          <w:rFonts w:ascii="Times New Roman" w:hAnsi="Times New Roman" w:eastAsia="宋体"/>
          <w:b/>
        </w:rPr>
        <w:t>申请人</w:t>
      </w:r>
      <w:r>
        <w:rPr>
          <w:rFonts w:ascii="Times New Roman" w:hAnsi="Times New Roman" w:eastAsia="宋体"/>
        </w:rPr>
        <w:t>：北京优幕科技有限责任公司</w:t>
      </w:r>
    </w:p>
    <w:p>
      <w:r>
        <w:rPr>
          <w:rFonts w:ascii="Times New Roman" w:hAnsi="Times New Roman" w:eastAsia="宋体"/>
          <w:b/>
        </w:rPr>
        <w:t>代理机构</w:t>
      </w:r>
      <w:r>
        <w:rPr>
          <w:rFonts w:ascii="Times New Roman" w:hAnsi="Times New Roman" w:eastAsia="宋体"/>
        </w:rPr>
        <w:t>：北京力致专利代理事务所（特殊普通合伙），代理师李博洋，联系人陈博旸</w:t>
      </w:r>
    </w:p>
    <w:p>
      <w:r>
        <w:rPr>
          <w:rFonts w:ascii="Times New Roman" w:hAnsi="Times New Roman" w:eastAsia="宋体"/>
          <w:b/>
        </w:rPr>
        <w:t>审查员</w:t>
      </w:r>
      <w:r>
        <w:rPr>
          <w:rFonts w:ascii="Times New Roman" w:hAnsi="Times New Roman" w:eastAsia="宋体"/>
        </w:rPr>
        <w:t>：黄睿，专利审查协作北京中心，电话 010-53966185</w:t>
      </w:r>
    </w:p>
    <w:p>
      <w:r>
        <w:rPr>
          <w:rFonts w:ascii="Times New Roman" w:hAnsi="Times New Roman" w:eastAsia="宋体"/>
          <w:b/>
        </w:rPr>
        <w:t>通知书</w:t>
      </w:r>
      <w:r>
        <w:rPr>
          <w:rFonts w:ascii="Times New Roman" w:hAnsi="Times New Roman" w:eastAsia="宋体"/>
        </w:rPr>
        <w:t>：第二次审查意见通知书，发文日 2026 年 08 月 08 日</w:t>
      </w:r>
    </w:p>
    <w:p>
      <w:r>
        <w:rPr>
          <w:rFonts w:ascii="Times New Roman" w:hAnsi="Times New Roman" w:eastAsia="宋体"/>
          <w:b/>
        </w:rPr>
        <w:t>本文档日期</w:t>
      </w:r>
      <w:r>
        <w:rPr>
          <w:rFonts w:ascii="Times New Roman" w:hAnsi="Times New Roman" w:eastAsia="宋体"/>
        </w:rPr>
        <w:t>：2026 年 08 月 15 日</w:t>
      </w:r>
    </w:p>
    <w:p>
      <w:r>
        <w:rPr>
          <w:rFonts w:ascii="Times New Roman" w:hAnsi="Times New Roman" w:eastAsia="宋体"/>
          <w:b/>
        </w:rPr>
        <w:t>本文档用途</w:t>
      </w:r>
      <w:r>
        <w:rPr>
          <w:rFonts w:ascii="Times New Roman" w:hAnsi="Times New Roman" w:eastAsia="宋体"/>
        </w:rPr>
        <w:t>：对代理机构起草的《OA2 意见陈述内容》和《OA2 权利要求书对照页》做核查，指出可用之处、遗漏之处和风险，并给出可直接采用的补充文字</w:t>
      </w:r>
    </w:p>
    <w:p>
      <w:pPr>
        <w:pStyle w:val="Heading1"/>
      </w:pPr>
      <w:r>
        <w:t>0. 期限：只有 2 个月，比上一轮短一半</w:t>
      </w:r>
    </w:p>
    <w:p>
      <w:pPr>
        <w:ind w:firstLine="420"/>
      </w:pPr>
      <w:r>
        <w:rPr>
          <w:rFonts w:ascii="Times New Roman" w:hAnsi="Times New Roman" w:eastAsia="宋体"/>
        </w:rPr>
        <w:t>上一轮给的是 4 个月，这一轮是 2 个月。发文日 2026 年 08 月 08 日。</w:t>
      </w:r>
    </w:p>
    <w:p>
      <w:pPr>
        <w:pStyle w:val="ListBullet"/>
        <w:spacing w:after="60"/>
      </w:pPr>
      <w:r>
        <w:rPr>
          <w:rFonts w:ascii="Times New Roman" w:hAnsi="Times New Roman" w:eastAsia="宋体"/>
        </w:rPr>
        <w:t xml:space="preserve">电子申请（收到日按发文日计）：约 </w:t>
      </w:r>
      <w:r>
        <w:rPr>
          <w:rFonts w:ascii="Times New Roman" w:hAnsi="Times New Roman" w:eastAsia="宋体"/>
          <w:b/>
        </w:rPr>
        <w:t>2026 年 10 月 08 日</w:t>
      </w:r>
      <w:r>
        <w:rPr>
          <w:rFonts w:ascii="Times New Roman" w:hAnsi="Times New Roman" w:eastAsia="宋体"/>
        </w:rPr>
        <w:t>届满</w:t>
      </w:r>
    </w:p>
    <w:p>
      <w:pPr>
        <w:pStyle w:val="ListBullet"/>
        <w:spacing w:after="60"/>
      </w:pPr>
      <w:r>
        <w:rPr>
          <w:rFonts w:ascii="Times New Roman" w:hAnsi="Times New Roman" w:eastAsia="宋体"/>
        </w:rPr>
        <w:t xml:space="preserve">纸件申请（推定收到日为发文日加 15 日）：约 </w:t>
      </w:r>
      <w:r>
        <w:rPr>
          <w:rFonts w:ascii="Times New Roman" w:hAnsi="Times New Roman" w:eastAsia="宋体"/>
          <w:b/>
        </w:rPr>
        <w:t>2026 年 10 月 23 日</w:t>
      </w:r>
      <w:r>
        <w:rPr>
          <w:rFonts w:ascii="Times New Roman" w:hAnsi="Times New Roman" w:eastAsia="宋体"/>
        </w:rPr>
        <w:t>届满</w:t>
      </w:r>
    </w:p>
    <w:p>
      <w:pPr>
        <w:ind w:firstLine="420"/>
      </w:pPr>
      <w:r>
        <w:rPr>
          <w:rFonts w:ascii="Times New Roman" w:hAnsi="Times New Roman" w:eastAsia="宋体"/>
        </w:rPr>
        <w:t>具体以代理机构收文记录为准。</w:t>
      </w:r>
    </w:p>
    <w:p>
      <w:pPr>
        <w:ind w:firstLine="420"/>
      </w:pPr>
      <w:r>
        <w:rPr>
          <w:rFonts w:ascii="Times New Roman" w:hAnsi="Times New Roman" w:eastAsia="宋体"/>
        </w:rPr>
        <w:t>通知书第 6 项再次勾选了"专利申请中没有可以被授予专利权的实质性内容，如果申请人没有陈述理由或者陈述理由不充分，其申请将被驳回"。这是第二次出现这句话，下一步很可能是驳回决定，本轮答复的质量直接决定案子生死。</w:t>
      </w:r>
    </w:p>
    <w:p>
      <w:pPr>
        <w:pStyle w:val="Heading1"/>
      </w:pPr>
      <w:r>
        <w:t>1. 本轮审查意见要点</w:t>
      </w:r>
    </w:p>
    <w:p>
      <w:pPr>
        <w:pStyle w:val="Heading2"/>
      </w:pPr>
      <w:r>
        <w:t>1.1 审查员的立场发生了一处重要变化</w:t>
      </w:r>
    </w:p>
    <w:p>
      <w:pPr>
        <w:ind w:firstLine="420"/>
      </w:pPr>
      <w:r>
        <w:rPr>
          <w:rFonts w:ascii="Times New Roman" w:hAnsi="Times New Roman" w:eastAsia="宋体"/>
        </w:rPr>
        <w:t>第一次审查意见以对比文件 1（CN121958327A）为最接近现有技术。本轮改以</w:t>
      </w:r>
      <w:r>
        <w:rPr>
          <w:rFonts w:ascii="Times New Roman" w:hAnsi="Times New Roman" w:eastAsia="宋体"/>
          <w:b/>
        </w:rPr>
        <w:t>对比文件 3（CN121722780A，一种基于检索增强生成和自主规划的自然语言至 SQL 查询方法及系统，公开日 2026-03-24）</w:t>
      </w:r>
      <w:r>
        <w:rPr>
          <w:rFonts w:ascii="Times New Roman" w:hAnsi="Times New Roman" w:eastAsia="宋体"/>
        </w:rPr>
        <w:t>为最接近现有技术，对比文件 1 退居次要位置，只在评价从属权利要求 8 时出现。</w:t>
      </w:r>
    </w:p>
    <w:p>
      <w:pPr>
        <w:ind w:firstLine="420"/>
      </w:pPr>
      <w:r>
        <w:rPr>
          <w:rFonts w:ascii="Times New Roman" w:hAnsi="Times New Roman" w:eastAsia="宋体"/>
        </w:rPr>
        <w:t>需要说明的是，对比文件 3 并不是这次才检索到的新文件。它在第一次审查意见所附的检索报告中已经出现，当时被标注为 A 类，即仅反映部分技术特征的背景技术文件。本轮被提升为最接近现有技术。</w:t>
      </w:r>
    </w:p>
    <w:p>
      <w:pPr>
        <w:ind w:firstLine="420"/>
      </w:pPr>
      <w:r>
        <w:rPr>
          <w:rFonts w:ascii="Times New Roman" w:hAnsi="Times New Roman" w:eastAsia="宋体"/>
        </w:rPr>
        <w:t>审查员在正文开头复述了申请人上一轮的两个论点，随后用"然而"逐条反驳，结尾写"综上，申请人的意见陈述不具有说服力"。</w:t>
      </w:r>
      <w:r>
        <w:rPr>
          <w:rFonts w:ascii="Times New Roman" w:hAnsi="Times New Roman" w:eastAsia="宋体"/>
          <w:b/>
        </w:rPr>
        <w:t>从字面看审查员没有接受任何一点。</w:t>
      </w:r>
      <w:r>
        <w:rPr>
          <w:rFonts w:ascii="Times New Roman" w:hAnsi="Times New Roman" w:eastAsia="宋体"/>
        </w:rPr>
        <w:t>但他放弃以对比文件 1 为基础、并且不再主张对比文件 1 公开了单次推理联合生成，这在事实上接受了上一轮关于对比文件 1 的分析，只是换了一篇文件重新搭建了结构相同的论证。</w:t>
      </w:r>
    </w:p>
    <w:p>
      <w:pPr>
        <w:pStyle w:val="Heading2"/>
      </w:pPr>
      <w:r>
        <w:t>1.2 本轮的驳回逻辑</w:t>
      </w:r>
    </w:p>
    <w:p>
      <w:pPr>
        <w:ind w:firstLine="420"/>
      </w:pPr>
      <w:r>
        <w:rPr>
          <w:rFonts w:ascii="Times New Roman" w:hAnsi="Times New Roman" w:eastAsia="宋体"/>
        </w:rPr>
        <w:t>审查员认定权利要求 1 相对对比文件 3 的区别只有两点：</w:t>
      </w:r>
    </w:p>
    <w:p>
      <w:pPr>
        <w:ind w:firstLine="420"/>
      </w:pPr>
      <w:r>
        <w:rPr>
          <w:rFonts w:ascii="Times New Roman" w:hAnsi="Times New Roman" w:eastAsia="宋体"/>
        </w:rPr>
        <w:t>第一点，生成若干系统指令信息，以及系统指令信息和多维度结构化路由决策数据的具体内容。</w:t>
      </w:r>
    </w:p>
    <w:p>
      <w:pPr>
        <w:ind w:firstLine="420"/>
      </w:pPr>
      <w:r>
        <w:rPr>
          <w:rFonts w:ascii="Times New Roman" w:hAnsi="Times New Roman" w:eastAsia="宋体"/>
        </w:rPr>
        <w:t>第二点，基于目标结构化路由决策数据执行多路径检索得到目标检索结果。</w:t>
      </w:r>
    </w:p>
    <w:p>
      <w:pPr>
        <w:ind w:firstLine="420"/>
      </w:pPr>
      <w:r>
        <w:rPr>
          <w:rFonts w:ascii="Times New Roman" w:hAnsi="Times New Roman" w:eastAsia="宋体"/>
        </w:rPr>
        <w:t>言下之意是，</w:t>
      </w:r>
      <w:r>
        <w:rPr>
          <w:rFonts w:ascii="Times New Roman" w:hAnsi="Times New Roman" w:eastAsia="宋体"/>
          <w:b/>
        </w:rPr>
        <w:t>对比文件 3 已经公开了单次推理调用生成结构化路由决策数据，也已经公开了逐字段校验加回退</w:t>
      </w:r>
      <w:r>
        <w:rPr>
          <w:rFonts w:ascii="Times New Roman" w:hAnsi="Times New Roman" w:eastAsia="宋体"/>
        </w:rPr>
        <w:t>。这两条正是本申请的核心，必须正面推翻。</w:t>
      </w:r>
    </w:p>
    <w:p>
      <w:pPr>
        <w:ind w:firstLine="420"/>
      </w:pPr>
      <w:r>
        <w:rPr>
          <w:rFonts w:ascii="Times New Roman" w:hAnsi="Times New Roman" w:eastAsia="宋体"/>
        </w:rPr>
        <w:t>对上述第一点，审查员用对比文件 2 的结构化意图解析来补，并称"本领域技术人员可以检索需要，灵活生成所需的系统指令信息"。对上述第二点，审查员只用了一句话："当通过字段映射校验，获取最终的 SQL 语句之后，执行多路径检索，得到目标检索结果为本领域技术人员的常规选择。"</w:t>
      </w:r>
    </w:p>
    <w:p>
      <w:pPr>
        <w:ind w:firstLine="420"/>
      </w:pPr>
      <w:r>
        <w:rPr>
          <w:rFonts w:ascii="Times New Roman" w:hAnsi="Times New Roman" w:eastAsia="宋体"/>
        </w:rPr>
        <w:t>在答复申请人意见的部分，还有一句关键的补充论证："为了提高检索效率，本领域技术人员容易想到大语言模型仅执行一次推理调用，在一次调用中并行驱动五条异构检索路径。"整个单次调用的论证就靠这一句，没有任何证据。</w:t>
      </w:r>
    </w:p>
    <w:p>
      <w:pPr>
        <w:pStyle w:val="Heading1"/>
      </w:pPr>
      <w:r>
        <w:t>2. 代理稿的事实核查</w:t>
      </w:r>
    </w:p>
    <w:p>
      <w:pPr>
        <w:ind w:firstLine="420"/>
      </w:pPr>
      <w:r>
        <w:rPr>
          <w:rFonts w:ascii="Times New Roman" w:hAnsi="Times New Roman" w:eastAsia="宋体"/>
        </w:rPr>
        <w:t>已调取对比文件 3（CN121722780A）全文，逐条比对代理机构在意见陈述中对该文件的描述。</w:t>
      </w:r>
    </w:p>
    <w:p>
      <w:r>
        <w:rPr>
          <w:rFonts w:ascii="Times New Roman" w:hAnsi="Times New Roman" w:eastAsia="宋体"/>
          <w:b/>
        </w:rPr>
        <w:t>结论：代理稿引用的事实全部准确，经得起审查员核对，这部分不需要改。</w:t>
      </w:r>
    </w:p>
    <w:tbl>
      <w:tblPr>
        <w:tblStyle w:val="TableGrid"/>
        <w:tblW w:type="auto" w:w="0"/>
        <w:jc w:val="center"/>
        <w:tblLook w:firstColumn="1" w:firstRow="1" w:lastColumn="0" w:lastRow="0" w:noHBand="0" w:noVBand="1" w:val="04A0"/>
      </w:tblPr>
      <w:tblGrid>
        <w:gridCol w:w="3097"/>
        <w:gridCol w:w="3097"/>
        <w:gridCol w:w="3097"/>
      </w:tblGrid>
      <w:tr>
        <w:tc>
          <w:tcPr>
            <w:tcW w:type="dxa" w:w="3097"/>
            <w:shd w:val="clear" w:fill="DEEAF6"/>
          </w:tcPr>
          <w:p>
            <w:r>
              <w:rPr>
                <w:b/>
                <w:sz w:val="19"/>
              </w:rPr>
            </w:r>
            <w:r>
              <w:rPr>
                <w:rFonts w:ascii="Times New Roman" w:hAnsi="Times New Roman" w:eastAsia="宋体"/>
                <w:b/>
                <w:sz w:val="19"/>
              </w:rPr>
              <w:t>代理稿的陈述</w:t>
            </w:r>
          </w:p>
        </w:tc>
        <w:tc>
          <w:tcPr>
            <w:tcW w:type="dxa" w:w="3097"/>
            <w:shd w:val="clear" w:fill="DEEAF6"/>
          </w:tcPr>
          <w:p>
            <w:r>
              <w:rPr>
                <w:b/>
                <w:sz w:val="19"/>
              </w:rPr>
            </w:r>
            <w:r>
              <w:rPr>
                <w:rFonts w:ascii="Times New Roman" w:hAnsi="Times New Roman" w:eastAsia="宋体"/>
                <w:b/>
                <w:sz w:val="19"/>
              </w:rPr>
              <w:t>核查结果</w:t>
            </w:r>
          </w:p>
        </w:tc>
        <w:tc>
          <w:tcPr>
            <w:tcW w:type="dxa" w:w="3097"/>
            <w:shd w:val="clear" w:fill="DEEAF6"/>
          </w:tcPr>
          <w:p>
            <w:r>
              <w:rPr>
                <w:b/>
                <w:sz w:val="19"/>
              </w:rPr>
            </w:r>
            <w:r>
              <w:rPr>
                <w:rFonts w:ascii="Times New Roman" w:hAnsi="Times New Roman" w:eastAsia="宋体"/>
                <w:b/>
                <w:sz w:val="19"/>
              </w:rPr>
              <w:t>对比文件 3 出处</w:t>
            </w:r>
          </w:p>
        </w:tc>
      </w:tr>
      <w:tr>
        <w:tc>
          <w:tcPr>
            <w:tcW w:type="dxa" w:w="3097"/>
          </w:tcPr>
          <w:p>
            <w:r>
              <w:rPr>
                <w:sz w:val="19"/>
              </w:rPr>
            </w:r>
            <w:r>
              <w:rPr>
                <w:rFonts w:ascii="Times New Roman" w:hAnsi="Times New Roman" w:eastAsia="宋体"/>
                <w:sz w:val="19"/>
              </w:rPr>
              <w:t>初步意图信息由注入业务术语的 BPE 分词器分词、LLM 编码器加自注意力生成语义关联列表、BiLSTM-CRF 实体识别子模型生成关键实体清单、预设标签库匹配生成操作意图标识，四步串联得到</w:t>
            </w:r>
          </w:p>
        </w:tc>
        <w:tc>
          <w:tcPr>
            <w:tcW w:type="dxa" w:w="3097"/>
          </w:tcPr>
          <w:p>
            <w:r>
              <w:rPr>
                <w:sz w:val="19"/>
              </w:rPr>
            </w:r>
            <w:r>
              <w:rPr>
                <w:rFonts w:ascii="Times New Roman" w:hAnsi="Times New Roman" w:eastAsia="宋体"/>
                <w:sz w:val="19"/>
              </w:rPr>
              <w:t>属实</w:t>
            </w:r>
          </w:p>
        </w:tc>
        <w:tc>
          <w:tcPr>
            <w:tcW w:type="dxa" w:w="3097"/>
          </w:tcPr>
          <w:p>
            <w:r>
              <w:rPr>
                <w:sz w:val="19"/>
              </w:rPr>
            </w:r>
            <w:r>
              <w:rPr>
                <w:rFonts w:ascii="Times New Roman" w:hAnsi="Times New Roman" w:eastAsia="宋体"/>
                <w:sz w:val="19"/>
              </w:rPr>
              <w:t>说明书 [0028] 至 [0033]</w:t>
            </w:r>
          </w:p>
        </w:tc>
      </w:tr>
      <w:tr>
        <w:tc>
          <w:tcPr>
            <w:tcW w:type="dxa" w:w="3097"/>
          </w:tcPr>
          <w:p>
            <w:r>
              <w:rPr>
                <w:sz w:val="19"/>
              </w:rPr>
            </w:r>
            <w:r>
              <w:rPr>
                <w:rFonts w:ascii="Times New Roman" w:hAnsi="Times New Roman" w:eastAsia="宋体"/>
                <w:sz w:val="19"/>
              </w:rPr>
              <w:t>得到初步意图信息后还需再拆解才能得到检索策略</w:t>
            </w:r>
          </w:p>
        </w:tc>
        <w:tc>
          <w:tcPr>
            <w:tcW w:type="dxa" w:w="3097"/>
          </w:tcPr>
          <w:p>
            <w:r>
              <w:rPr>
                <w:sz w:val="19"/>
              </w:rPr>
            </w:r>
            <w:r>
              <w:rPr>
                <w:rFonts w:ascii="Times New Roman" w:hAnsi="Times New Roman" w:eastAsia="宋体"/>
                <w:sz w:val="19"/>
              </w:rPr>
              <w:t>属实</w:t>
            </w:r>
          </w:p>
        </w:tc>
        <w:tc>
          <w:tcPr>
            <w:tcW w:type="dxa" w:w="3097"/>
          </w:tcPr>
          <w:p>
            <w:r>
              <w:rPr>
                <w:sz w:val="19"/>
              </w:rPr>
            </w:r>
            <w:r>
              <w:rPr>
                <w:rFonts w:ascii="Times New Roman" w:hAnsi="Times New Roman" w:eastAsia="宋体"/>
                <w:sz w:val="19"/>
              </w:rPr>
              <w:t>[0036] 至 [0037]</w:t>
            </w:r>
          </w:p>
        </w:tc>
      </w:tr>
      <w:tr>
        <w:tc>
          <w:tcPr>
            <w:tcW w:type="dxa" w:w="3097"/>
          </w:tcPr>
          <w:p>
            <w:r>
              <w:rPr>
                <w:sz w:val="19"/>
              </w:rPr>
            </w:r>
            <w:r>
              <w:rPr>
                <w:rFonts w:ascii="Times New Roman" w:hAnsi="Times New Roman" w:eastAsia="宋体"/>
                <w:sz w:val="19"/>
              </w:rPr>
              <w:t>并行或串行执行按"语义独立度 ≥0.7、资源充裕度 ≥1.2 则并行，否则串行"判定</w:t>
            </w:r>
          </w:p>
        </w:tc>
        <w:tc>
          <w:tcPr>
            <w:tcW w:type="dxa" w:w="3097"/>
          </w:tcPr>
          <w:p>
            <w:r>
              <w:rPr>
                <w:sz w:val="19"/>
              </w:rPr>
            </w:r>
            <w:r>
              <w:rPr>
                <w:rFonts w:ascii="Times New Roman" w:hAnsi="Times New Roman" w:eastAsia="宋体"/>
                <w:sz w:val="19"/>
              </w:rPr>
              <w:t>属实，公式与阈值均一致</w:t>
            </w:r>
          </w:p>
        </w:tc>
        <w:tc>
          <w:tcPr>
            <w:tcW w:type="dxa" w:w="3097"/>
          </w:tcPr>
          <w:p>
            <w:r>
              <w:rPr>
                <w:sz w:val="19"/>
              </w:rPr>
            </w:r>
            <w:r>
              <w:rPr>
                <w:rFonts w:ascii="Times New Roman" w:hAnsi="Times New Roman" w:eastAsia="宋体"/>
                <w:sz w:val="19"/>
              </w:rPr>
              <w:t>[0040] 至 [0044]</w:t>
            </w:r>
          </w:p>
        </w:tc>
      </w:tr>
      <w:tr>
        <w:tc>
          <w:tcPr>
            <w:tcW w:type="dxa" w:w="3097"/>
          </w:tcPr>
          <w:p>
            <w:r>
              <w:rPr>
                <w:sz w:val="19"/>
              </w:rPr>
            </w:r>
            <w:r>
              <w:rPr>
                <w:rFonts w:ascii="Times New Roman" w:hAnsi="Times New Roman" w:eastAsia="宋体"/>
                <w:sz w:val="19"/>
              </w:rPr>
              <w:t>字段映射校验用 SQL 解析工具（如 sqlparse）拆解初始 SQL，做表名校验与字段归属校验</w:t>
            </w:r>
          </w:p>
        </w:tc>
        <w:tc>
          <w:tcPr>
            <w:tcW w:type="dxa" w:w="3097"/>
          </w:tcPr>
          <w:p>
            <w:r>
              <w:rPr>
                <w:sz w:val="19"/>
              </w:rPr>
            </w:r>
            <w:r>
              <w:rPr>
                <w:rFonts w:ascii="Times New Roman" w:hAnsi="Times New Roman" w:eastAsia="宋体"/>
                <w:sz w:val="19"/>
              </w:rPr>
              <w:t>属实</w:t>
            </w:r>
          </w:p>
        </w:tc>
        <w:tc>
          <w:tcPr>
            <w:tcW w:type="dxa" w:w="3097"/>
          </w:tcPr>
          <w:p>
            <w:r>
              <w:rPr>
                <w:sz w:val="19"/>
              </w:rPr>
            </w:r>
            <w:r>
              <w:rPr>
                <w:rFonts w:ascii="Times New Roman" w:hAnsi="Times New Roman" w:eastAsia="宋体"/>
                <w:sz w:val="19"/>
              </w:rPr>
              <w:t>[0061]</w:t>
            </w:r>
          </w:p>
        </w:tc>
      </w:tr>
      <w:tr>
        <w:tc>
          <w:tcPr>
            <w:tcW w:type="dxa" w:w="3097"/>
          </w:tcPr>
          <w:p>
            <w:r>
              <w:rPr>
                <w:sz w:val="19"/>
              </w:rPr>
            </w:r>
            <w:r>
              <w:rPr>
                <w:rFonts w:ascii="Times New Roman" w:hAnsi="Times New Roman" w:eastAsia="宋体"/>
                <w:sz w:val="19"/>
              </w:rPr>
              <w:t>校验不通过时反馈给大语言模型补充修正指令、重新生成 SQL</w:t>
            </w:r>
          </w:p>
        </w:tc>
        <w:tc>
          <w:tcPr>
            <w:tcW w:type="dxa" w:w="3097"/>
          </w:tcPr>
          <w:p>
            <w:r>
              <w:rPr>
                <w:sz w:val="19"/>
              </w:rPr>
            </w:r>
            <w:r>
              <w:rPr>
                <w:rFonts w:ascii="Times New Roman" w:hAnsi="Times New Roman" w:eastAsia="宋体"/>
                <w:sz w:val="19"/>
              </w:rPr>
              <w:t>属实</w:t>
            </w:r>
          </w:p>
        </w:tc>
        <w:tc>
          <w:tcPr>
            <w:tcW w:type="dxa" w:w="3097"/>
          </w:tcPr>
          <w:p>
            <w:r>
              <w:rPr>
                <w:sz w:val="19"/>
              </w:rPr>
            </w:r>
            <w:r>
              <w:rPr>
                <w:rFonts w:ascii="Times New Roman" w:hAnsi="Times New Roman" w:eastAsia="宋体"/>
                <w:sz w:val="19"/>
              </w:rPr>
              <w:t>[0062] 至 [0063]</w:t>
            </w:r>
          </w:p>
        </w:tc>
      </w:tr>
    </w:tbl>
    <w:p/>
    <w:p>
      <w:pPr>
        <w:ind w:firstLine="420"/>
      </w:pPr>
      <w:r>
        <w:rPr>
          <w:rFonts w:ascii="Times New Roman" w:hAnsi="Times New Roman" w:eastAsia="宋体"/>
        </w:rPr>
        <w:t>代理稿关于对比文件 3 的"多维度上下文信息"是检索所得的知识素材、而非驱动检索的决策指令这一分析，也与对比文件 3 [0045] 及 [0064] 至 [0065] 的记载一致。</w:t>
      </w:r>
    </w:p>
    <w:p>
      <w:pPr>
        <w:pStyle w:val="Heading1"/>
      </w:pPr>
      <w:r>
        <w:t>3. 说明书核对结果</w:t>
      </w:r>
    </w:p>
    <w:p>
      <w:pPr>
        <w:ind w:firstLine="420"/>
      </w:pPr>
      <w:r>
        <w:rPr>
          <w:rFonts w:ascii="Times New Roman" w:hAnsi="Times New Roman" w:eastAsia="宋体"/>
        </w:rPr>
        <w:t>已调取本申请公开文本 CN122388163A。</w:t>
      </w:r>
    </w:p>
    <w:p>
      <w:pPr>
        <w:pStyle w:val="Heading2"/>
      </w:pPr>
      <w:r>
        <w:t>3.1 新增的权利要求特征有说明书支持，专利法第三十三条风险排除</w:t>
      </w:r>
    </w:p>
    <w:p>
      <w:pPr>
        <w:ind w:firstLine="420"/>
      </w:pPr>
      <w:r>
        <w:rPr>
          <w:rFonts w:ascii="Times New Roman" w:hAnsi="Times New Roman" w:eastAsia="宋体"/>
        </w:rPr>
        <w:t>本轮往权利要求 1 中新增的表述是"所述多维度结构化路由决策数据的各维度在同一推理上下文中相互交叉参考，在推理某个维度时动态利用其他维度的中间推理结果进行协同调整"。</w:t>
      </w:r>
    </w:p>
    <w:p>
      <w:pPr>
        <w:ind w:firstLine="420"/>
      </w:pPr>
      <w:r>
        <w:rPr>
          <w:rFonts w:ascii="Times New Roman" w:hAnsi="Times New Roman" w:eastAsia="宋体"/>
        </w:rPr>
        <w:t>说明书 [0025] 段原文：</w:t>
      </w:r>
    </w:p>
    <w:p>
      <w:pPr>
        <w:spacing w:after="80"/>
        <w:ind w:left="454" w:right="170" w:firstLine="300"/>
        <w:pBdr>
          <w:left w:val="single" w:sz="18" w:space="8" w:color="8EAADB"/>
        </w:pBdr>
        <w:shd w:val="clear" w:fill="F2F5FA"/>
      </w:pPr>
      <w:r>
        <w:rPr>
          <w:rFonts w:ascii="Times New Roman" w:hAnsi="Times New Roman" w:eastAsia="宋体"/>
        </w:rPr>
        <w:t>本实施例的大语言模型作为核心推理引擎，经过大规模文本语料的预训练，具备了理解复杂语义与生成结构化输出的能力。大语言模型用于根据若干系统指令信息和用户查询文本，一次性生成多维度决策信息。大语言模型单次推理调用是指仅执行一次模型前向传播，从而避免了多次串行调用带来的延迟累积与资源浪费。而且，大语言模型在一次推理中同时完成多个不同路由决策维度的联合生成，各维度在同一推理上下文中相互交叉参考，例如大语言模型在推理某个维度时，能够动态利用其他维度的中间推理结果进行协同调整。这种联合生成与交叉参考机制，有效解决了分步多次调用中常见的上下文割裂、决策冲突以及信息利用不充分等问题，确保最终输出的多维决策在语义上保持内在一致，从而显著提升了路由决策的整体准确性与可靠性。</w:t>
      </w:r>
    </w:p>
    <w:p>
      <w:pPr>
        <w:spacing w:after="40"/>
      </w:pPr>
    </w:p>
    <w:p>
      <w:pPr>
        <w:ind w:firstLine="420"/>
      </w:pPr>
      <w:r>
        <w:rPr>
          <w:rFonts w:ascii="Times New Roman" w:hAnsi="Times New Roman" w:eastAsia="宋体"/>
        </w:rPr>
        <w:t>新增表述与该段记载逐字对应，修改未超出原说明书记载的范围。</w:t>
      </w:r>
      <w:r>
        <w:rPr>
          <w:rFonts w:ascii="Times New Roman" w:hAnsi="Times New Roman" w:eastAsia="宋体"/>
          <w:b/>
        </w:rPr>
        <w:t>这一项风险排除，不需要再处理。</w:t>
      </w:r>
    </w:p>
    <w:p>
      <w:pPr>
        <w:pStyle w:val="Heading2"/>
      </w:pPr>
      <w:r>
        <w:t>3.2 说明书里有两处可以直接引用的有利记载</w:t>
      </w:r>
    </w:p>
    <w:p>
      <w:r>
        <w:rPr>
          <w:rFonts w:ascii="Times New Roman" w:hAnsi="Times New Roman" w:eastAsia="宋体"/>
          <w:b/>
        </w:rPr>
        <w:t>第一处，[0025] 段自带完整的技术效果因果链。</w:t>
      </w:r>
      <w:r>
        <w:rPr>
          <w:rFonts w:ascii="Times New Roman" w:hAnsi="Times New Roman" w:eastAsia="宋体"/>
        </w:rPr>
        <w:t>该段明确写明单次推理联合生成解决的是"分步多次调用中常见的上下文割裂、决策冲突以及信息利用不充分"，达到的效果是"确保最终输出的多维决策在语义上保持内在一致"，进而"显著提升了路由决策的整体准确性与可靠性"。</w:t>
      </w:r>
    </w:p>
    <w:p>
      <w:pPr>
        <w:ind w:firstLine="420"/>
      </w:pPr>
      <w:r>
        <w:rPr>
          <w:rFonts w:ascii="Times New Roman" w:hAnsi="Times New Roman" w:eastAsia="宋体"/>
        </w:rPr>
        <w:t>这一点的价值在于：技术效果如果只由代理师在答复中主张，审查员可以认为是事后补充的说辞；写在原始说明书里的记载则是申请日就已确定的事实。本轮答复应当直接援引 [0025] 段原文，而不是以论证的口吻重新表述。</w:t>
      </w:r>
    </w:p>
    <w:p>
      <w:r>
        <w:rPr>
          <w:rFonts w:ascii="Times New Roman" w:hAnsi="Times New Roman" w:eastAsia="宋体"/>
          <w:b/>
        </w:rPr>
        <w:t>第二处，[0023] 段支撑维度之间存在耦合关系这个前提。</w:t>
      </w:r>
      <w:r>
        <w:rPr>
          <w:rFonts w:ascii="Times New Roman" w:hAnsi="Times New Roman" w:eastAsia="宋体"/>
        </w:rPr>
        <w:t>该段写明系统指令信息用于向模型说明"当前多路检索系统中各检索路径的基本特性、模型输出所需遵守的格式与取值范围，以及不同决策维度之间的依赖关系"。</w:t>
      </w:r>
    </w:p>
    <w:p>
      <w:pPr>
        <w:ind w:firstLine="420"/>
      </w:pPr>
      <w:r>
        <w:rPr>
          <w:rFonts w:ascii="Times New Roman" w:hAnsi="Times New Roman" w:eastAsia="宋体"/>
        </w:rPr>
        <w:t>这段有两个用处。一是"格式与取值范围"直接支撑上一轮已经被审查员回避、本轮仍然成立的论点，即系统指令信息是调用模型之前下发的输出约束，与对比文件 2 的结构化意图描述对象（模型解析之后的输出结果）方向相反。二是"不同决策维度之间的依赖关系"证明各维度相互耦合是本申请的原始设计前提，不是为了答复而临时提出的说法。</w:t>
      </w:r>
    </w:p>
    <w:p>
      <w:pPr>
        <w:pStyle w:val="Heading2"/>
      </w:pPr>
      <w:r>
        <w:t>3.3 新发现的风险：说明书自身提到了效率</w:t>
      </w:r>
    </w:p>
    <w:p>
      <w:pPr>
        <w:ind w:firstLine="420"/>
      </w:pPr>
      <w:r>
        <w:rPr>
          <w:rFonts w:ascii="Times New Roman" w:hAnsi="Times New Roman" w:eastAsia="宋体"/>
        </w:rPr>
        <w:t>[0025] 段在讲单次推理时，除了语义一致性，还写了"从而避免了多次串行调用带来的延迟累积与资源浪费"。</w:t>
      </w:r>
    </w:p>
    <w:p>
      <w:pPr>
        <w:ind w:firstLine="420"/>
      </w:pPr>
      <w:r>
        <w:rPr>
          <w:rFonts w:ascii="Times New Roman" w:hAnsi="Times New Roman" w:eastAsia="宋体"/>
        </w:rPr>
        <w:t>审查员本轮的关键句是"</w:t>
      </w:r>
      <w:r>
        <w:rPr>
          <w:rFonts w:ascii="Times New Roman" w:hAnsi="Times New Roman" w:eastAsia="宋体"/>
          <w:b/>
        </w:rPr>
        <w:t>为了提高检索效率</w:t>
      </w:r>
      <w:r>
        <w:rPr>
          <w:rFonts w:ascii="Times New Roman" w:hAnsi="Times New Roman" w:eastAsia="宋体"/>
        </w:rPr>
        <w:t>，本领域技术人员容易想到大语言模型仅执行一次推理调用"。他完全可以引用本申请自己的说明书来印证这个效率论：既然申请人自己承认单次调用的好处是避免延迟累积和资源浪费，那么以提高效率为动机去合并调用就是本领域的常规优化。</w:t>
      </w:r>
    </w:p>
    <w:p>
      <w:r>
        <w:rPr>
          <w:rFonts w:ascii="Times New Roman" w:hAnsi="Times New Roman" w:eastAsia="宋体"/>
          <w:b/>
        </w:rPr>
        <w:t>这一点必须在本轮主动处理，不能等审查员在驳回决定里提出来。</w:t>
      </w:r>
      <w:r>
        <w:rPr>
          <w:rFonts w:ascii="Times New Roman" w:hAnsi="Times New Roman" w:eastAsia="宋体"/>
        </w:rPr>
        <w:t>处理方向不是否认效率效果，而是把两种效果分开：效率提升是单次调用的附带结果，任何合并调用都能获得；语义一致性则不是，它来自各维度在同一上下文中交叉参考这一机制本身，把多次调用简单合并并不能得到。具体文字见第 4.1 节。</w:t>
      </w:r>
    </w:p>
    <w:p>
      <w:pPr>
        <w:pStyle w:val="Heading1"/>
      </w:pPr>
      <w:r>
        <w:t>4. 代理稿的遗漏与建议补充的内容</w:t>
      </w:r>
    </w:p>
    <w:p>
      <w:pPr>
        <w:ind w:firstLine="420"/>
      </w:pPr>
      <w:r>
        <w:rPr>
          <w:rFonts w:ascii="Times New Roman" w:hAnsi="Times New Roman" w:eastAsia="宋体"/>
        </w:rPr>
        <w:t>代理稿事实准确，但最有力的三个论点没有提出，另有两处需要预防性处理。以下五节给出可直接采用的文字。</w:t>
      </w:r>
    </w:p>
    <w:p>
      <w:pPr>
        <w:pStyle w:val="Heading2"/>
      </w:pPr>
      <w:r>
        <w:t>4.1 补充一：对比文件 3 构成反向教导</w:t>
      </w:r>
    </w:p>
    <w:p>
      <w:pPr>
        <w:ind w:firstLine="420"/>
      </w:pPr>
      <w:r>
        <w:rPr>
          <w:rFonts w:ascii="Times New Roman" w:hAnsi="Times New Roman" w:eastAsia="宋体"/>
        </w:rPr>
        <w:t>代理稿只说明了对比文件 3 是多步串联、与本申请不同，没有进一步指出该文件本身给出的是相反的技术启示。这两者分量不同：前者是"本申请与该文件不一样"，后者是"该文件自身正在往相反方向走"。</w:t>
      </w:r>
    </w:p>
    <w:p>
      <w:pPr>
        <w:ind w:firstLine="420"/>
      </w:pPr>
      <w:r>
        <w:rPr>
          <w:rFonts w:ascii="Times New Roman" w:hAnsi="Times New Roman" w:eastAsia="宋体"/>
        </w:rPr>
        <w:t>建议在区别技术特征（1）的论证之后插入以下内容。</w:t>
      </w:r>
    </w:p>
    <w:p>
      <w:pPr>
        <w:spacing w:after="80"/>
        <w:ind w:left="454" w:right="170" w:firstLine="300"/>
        <w:pBdr>
          <w:left w:val="single" w:sz="18" w:space="8" w:color="8EAADB"/>
        </w:pBdr>
        <w:shd w:val="clear" w:fill="F2F5FA"/>
      </w:pPr>
      <w:r>
        <w:rPr>
          <w:rFonts w:ascii="Times New Roman" w:hAnsi="Times New Roman" w:eastAsia="宋体"/>
        </w:rPr>
        <w:t>除上述差异之外，需要特别指出，对比文件 3 不仅没有给出单次推理调用的启示，其自身的技术路线恰恰相反。</w:t>
      </w:r>
    </w:p>
    <w:p>
      <w:pPr>
        <w:spacing w:after="80"/>
        <w:ind w:left="454" w:right="170" w:firstLine="300"/>
        <w:pBdr>
          <w:left w:val="single" w:sz="18" w:space="8" w:color="8EAADB"/>
        </w:pBdr>
        <w:shd w:val="clear" w:fill="F2F5FA"/>
      </w:pPr>
      <w:r>
        <w:rPr>
          <w:rFonts w:ascii="Times New Roman" w:hAnsi="Times New Roman" w:eastAsia="宋体"/>
        </w:rPr>
        <w:t>对比文件 3 说明书 [0062] 至 [0063] 段明确记载：若字段校验结果存在字段不匹配，将不匹配信息反馈至大语言模型并补充修正指令，重新生成 SQL 语句，从而获取最终的 SQL 语句。也就是说，对比文件 3 在生成环节主动设计了失败后再次调用大语言模型的机制。结合该文件 [0028] 至 [0033] 段记载的分词器、编码器、实体识别子模型、标签库匹配四步串联的意图解析流程，可以确认对比文件 3 的整体架构建立在多阶段、多次模型调用之上，并且把再次调用作为保证输出质量的常规手段。一篇通篇采用多次调用、并将失败重试写入技术方案的文件，无法给出应当仅调用一次的技术启示，其给出的是相反的启示。</w:t>
      </w:r>
    </w:p>
    <w:p>
      <w:pPr>
        <w:spacing w:after="80"/>
        <w:ind w:left="454" w:right="170" w:firstLine="300"/>
        <w:pBdr>
          <w:left w:val="single" w:sz="18" w:space="8" w:color="8EAADB"/>
        </w:pBdr>
        <w:shd w:val="clear" w:fill="F2F5FA"/>
      </w:pPr>
      <w:r>
        <w:rPr>
          <w:rFonts w:ascii="Times New Roman" w:hAnsi="Times New Roman" w:eastAsia="宋体"/>
        </w:rPr>
        <w:t>审查意见认为"为了提高检索效率，本领域技术人员容易想到大语言模型仅执行一次推理调用"，申请人不认可。首先，该认定未说明理由，也未提供任何证据。其次，本申请说明书 [0025] 段记载的技术效果有两个层面：一是避免多次串行调用带来的延迟累积与资源浪费，二是各维度在同一推理上下文中相互交叉参考，从而解决分步多次调用中的上下文割裂、决策冲突与信息利用不充分问题，确保多维决策在语义上保持内在一致。前一个效果确实与效率有关，任何形式的调用合并都可能获得；后一个效果则不然，它来源于多个决策维度在同一推理上下文中联合生成、后生成的维度以已生成的维度为条件这一机制本身。</w:t>
      </w:r>
    </w:p>
    <w:p>
      <w:pPr>
        <w:spacing w:after="80"/>
        <w:ind w:left="454" w:right="170" w:firstLine="300"/>
        <w:pBdr>
          <w:left w:val="single" w:sz="18" w:space="8" w:color="8EAADB"/>
        </w:pBdr>
        <w:shd w:val="clear" w:fill="F2F5FA"/>
      </w:pPr>
      <w:r>
        <w:rPr>
          <w:rFonts w:ascii="Times New Roman" w:hAnsi="Times New Roman" w:eastAsia="宋体"/>
        </w:rPr>
        <w:t>具体而言，本申请的各决策维度之间存在语义耦合关系，这一点在说明书 [0023] 段中已有记载，即系统指令信息需要向模型说明不同决策维度之间的依赖关系。查询意图类型决定检索范围的合理取值，检索范围决定各条检索路径的权重分配，查询文本中是否存在时间约束直接影响时间序列检索路径的权重高低。若分多次调用分别生成各维度，后一次调用只能获得前一次已经文本化的输出结果，无法获得其完整推理依据，同一查询就可能在不同维度上被解释成不同意图，产生互相冲突的参数组合，例如意图类型被判定为精确事实查询而路径权重却偏向向量语义检索路径。这些冲突参数下发给检索引擎后，各路径召回的内容彼此不匹配，加权融合后的排序结果随之失真。</w:t>
      </w:r>
    </w:p>
    <w:p>
      <w:pPr>
        <w:spacing w:after="80"/>
        <w:ind w:left="454" w:right="170" w:firstLine="300"/>
        <w:pBdr>
          <w:left w:val="single" w:sz="18" w:space="8" w:color="8EAADB"/>
        </w:pBdr>
        <w:shd w:val="clear" w:fill="F2F5FA"/>
      </w:pPr>
      <w:r>
        <w:rPr>
          <w:rFonts w:ascii="Times New Roman" w:hAnsi="Times New Roman" w:eastAsia="宋体"/>
        </w:rPr>
        <w:t>因此，即便本领域技术人员出于提高效率的动机将对比文件 3 的多次调用予以合并，所得到的也只是调用次数的减少，其每次调用的任务性质并未改变，输出中依然不存在检索范围、图遍历策略、路径融合权重值这类执行参数，也就不存在维度之间的一致性问题，更不可能获得本申请所述的语义内在一致的技术效果。审查意见以效率为动机推导出本申请的技术方案，与本申请实际解决的技术问题并不对应，属于在已知本申请方案之后的事后分析。</w:t>
      </w:r>
    </w:p>
    <w:p>
      <w:pPr>
        <w:spacing w:after="40"/>
      </w:pPr>
    </w:p>
    <w:p>
      <w:pPr>
        <w:pStyle w:val="Heading2"/>
      </w:pPr>
      <w:r>
        <w:t>4.2 补充二：审查意见的对应关系自相矛盾，且流程顺序相反</w:t>
      </w:r>
    </w:p>
    <w:p>
      <w:pPr>
        <w:ind w:firstLine="420"/>
      </w:pPr>
      <w:r>
        <w:rPr>
          <w:rFonts w:ascii="Times New Roman" w:hAnsi="Times New Roman" w:eastAsia="宋体"/>
        </w:rPr>
        <w:t>这是本轮最有力的一点，代理稿完全没有涉及。建议作为独立的一节插入。</w:t>
      </w:r>
    </w:p>
    <w:p>
      <w:pPr>
        <w:spacing w:after="80"/>
        <w:ind w:left="454" w:right="170" w:firstLine="300"/>
        <w:pBdr>
          <w:left w:val="single" w:sz="18" w:space="8" w:color="8EAADB"/>
        </w:pBdr>
        <w:shd w:val="clear" w:fill="F2F5FA"/>
      </w:pPr>
      <w:r>
        <w:rPr>
          <w:rFonts w:ascii="Times New Roman" w:hAnsi="Times New Roman" w:eastAsia="宋体"/>
          <w:b/>
        </w:rPr>
        <w:t>审查意见对对比文件 3 的两处对应关系彼此矛盾</w:t>
      </w:r>
    </w:p>
    <w:p>
      <w:pPr>
        <w:spacing w:after="80"/>
        <w:ind w:left="454" w:right="170" w:firstLine="300"/>
        <w:pBdr>
          <w:left w:val="single" w:sz="18" w:space="8" w:color="8EAADB"/>
        </w:pBdr>
        <w:shd w:val="clear" w:fill="F2F5FA"/>
      </w:pPr>
      <w:r>
        <w:rPr>
          <w:rFonts w:ascii="Times New Roman" w:hAnsi="Times New Roman" w:eastAsia="宋体"/>
        </w:rPr>
        <w:t>审查意见在评述权利要求 1 时，对对比文件 3 做了两处对应：</w:t>
      </w:r>
    </w:p>
    <w:p>
      <w:pPr>
        <w:spacing w:after="80"/>
        <w:ind w:left="454" w:right="170" w:firstLine="300"/>
        <w:pBdr>
          <w:left w:val="single" w:sz="18" w:space="8" w:color="8EAADB"/>
        </w:pBdr>
        <w:shd w:val="clear" w:fill="F2F5FA"/>
      </w:pPr>
      <w:r>
        <w:rPr>
          <w:rFonts w:ascii="Times New Roman" w:hAnsi="Times New Roman" w:eastAsia="宋体"/>
        </w:rPr>
        <w:t>其一，将对比文件 3 的"多维度上下文信息"对应为本申请的"多维度结构化路由决策数据"。</w:t>
      </w:r>
    </w:p>
    <w:p>
      <w:pPr>
        <w:spacing w:after="80"/>
        <w:ind w:left="454" w:right="170" w:firstLine="300"/>
        <w:pBdr>
          <w:left w:val="single" w:sz="18" w:space="8" w:color="8EAADB"/>
        </w:pBdr>
        <w:shd w:val="clear" w:fill="F2F5FA"/>
      </w:pPr>
      <w:r>
        <w:rPr>
          <w:rFonts w:ascii="Times New Roman" w:hAnsi="Times New Roman" w:eastAsia="宋体"/>
        </w:rPr>
        <w:t>其二，将对比文件 3 对初始 SQL 语句的"字段映射校验"对应为本申请的"对多维度结构化路由决策数据中每个字段分别进行单独校验"。</w:t>
      </w:r>
    </w:p>
    <w:p>
      <w:pPr>
        <w:spacing w:after="80"/>
        <w:ind w:left="454" w:right="170" w:firstLine="300"/>
        <w:pBdr>
          <w:left w:val="single" w:sz="18" w:space="8" w:color="8EAADB"/>
        </w:pBdr>
        <w:shd w:val="clear" w:fill="F2F5FA"/>
      </w:pPr>
      <w:r>
        <w:rPr>
          <w:rFonts w:ascii="Times New Roman" w:hAnsi="Times New Roman" w:eastAsia="宋体"/>
        </w:rPr>
        <w:t>申请人认为上述两处对应无法同时成立。按照对比文件 3 说明书记载的流程，多维度上下文信息产生于对多源知识库执行检索并按融合规则融合之后（[0045]、[0064] 至 [0065] 段），上下文增强的提示词由多维度上下文信息生成（[0058] 段），初始 SQL 语句由提示词输入大语言模型后生成（[0059] 至 [0060] 段），字段映射校验则是对该初始 SQL 语句进行的（[0061] 段）。可见在对比文件 3 中，被校验的对象是 SQL 语句，而审查意见认定为路由决策数据的对象是多维度上下文信息，两者是该文件流程中前后相隔数个环节的两个不同事物。审查意见从对比文件 3 中分别摘取互不相干的两个步骤，各自对应本申请的一个技术特征，再将其视为一个完整方案，这种对应关系不能成立。</w:t>
      </w:r>
    </w:p>
    <w:p>
      <w:pPr>
        <w:spacing w:after="80"/>
        <w:ind w:left="454" w:right="170" w:firstLine="300"/>
        <w:pBdr>
          <w:left w:val="single" w:sz="18" w:space="8" w:color="8EAADB"/>
        </w:pBdr>
        <w:shd w:val="clear" w:fill="F2F5FA"/>
      </w:pPr>
      <w:r>
        <w:rPr>
          <w:rFonts w:ascii="Times New Roman" w:hAnsi="Times New Roman" w:eastAsia="宋体"/>
          <w:b/>
        </w:rPr>
        <w:t>两者在流程中的位置相反</w:t>
      </w:r>
    </w:p>
    <w:p>
      <w:pPr>
        <w:spacing w:after="80"/>
        <w:ind w:left="454" w:right="170" w:firstLine="300"/>
        <w:pBdr>
          <w:left w:val="single" w:sz="18" w:space="8" w:color="8EAADB"/>
        </w:pBdr>
        <w:shd w:val="clear" w:fill="F2F5FA"/>
      </w:pPr>
      <w:r>
        <w:rPr>
          <w:rFonts w:ascii="Times New Roman" w:hAnsi="Times New Roman" w:eastAsia="宋体"/>
        </w:rPr>
        <w:t>更为关键的是，即使单独考察校验环节，本申请与对比文件 3 的顺序也是相反的。</w:t>
      </w:r>
    </w:p>
    <w:p>
      <w:pPr>
        <w:spacing w:after="80"/>
        <w:ind w:left="454" w:right="170" w:firstLine="300"/>
        <w:pBdr>
          <w:left w:val="single" w:sz="18" w:space="8" w:color="8EAADB"/>
        </w:pBdr>
        <w:shd w:val="clear" w:fill="F2F5FA"/>
      </w:pPr>
      <w:r>
        <w:rPr>
          <w:rFonts w:ascii="Times New Roman" w:hAnsi="Times New Roman" w:eastAsia="宋体"/>
        </w:rPr>
        <w:t>本申请的顺序是：大语言模型生成多维度结构化路由决策数据，对该决策数据逐字段校验并对不合格字段回退，再基于校验后的目标决策数据执行多路径检索。校验发生在检索</w:t>
      </w:r>
      <w:r>
        <w:rPr>
          <w:rFonts w:ascii="Times New Roman" w:hAnsi="Times New Roman" w:eastAsia="宋体"/>
          <w:b/>
        </w:rPr>
        <w:t>之前</w:t>
      </w:r>
      <w:r>
        <w:rPr>
          <w:rFonts w:ascii="Times New Roman" w:hAnsi="Times New Roman" w:eastAsia="宋体"/>
        </w:rPr>
        <w:t>，其目的是保证接下来的检索能够被正确驱动，如本申请说明书 [0029] 段所记载，经过校验的决策数据作为可靠的检索指令用于驱动底层多种数据源的实际查询操作，从而降低因模型输出异常导致的检索失效风险。</w:t>
      </w:r>
    </w:p>
    <w:p>
      <w:pPr>
        <w:spacing w:after="80"/>
        <w:ind w:left="454" w:right="170" w:firstLine="300"/>
        <w:pBdr>
          <w:left w:val="single" w:sz="18" w:space="8" w:color="8EAADB"/>
        </w:pBdr>
        <w:shd w:val="clear" w:fill="F2F5FA"/>
      </w:pPr>
      <w:r>
        <w:rPr>
          <w:rFonts w:ascii="Times New Roman" w:hAnsi="Times New Roman" w:eastAsia="宋体"/>
        </w:rPr>
        <w:t>对比文件 3 的顺序是：先执行检索获取多维度上下文信息，再生成提示词，再生成 SQL 语句，最后对 SQL 语句做字段映射校验。校验发生在检索</w:t>
      </w:r>
      <w:r>
        <w:rPr>
          <w:rFonts w:ascii="Times New Roman" w:hAnsi="Times New Roman" w:eastAsia="宋体"/>
          <w:b/>
        </w:rPr>
        <w:t>之后</w:t>
      </w:r>
      <w:r>
        <w:rPr>
          <w:rFonts w:ascii="Times New Roman" w:hAnsi="Times New Roman" w:eastAsia="宋体"/>
        </w:rPr>
        <w:t>，其目的是保证 SQL 语句能够在数据库中正确执行，避免出现表不存在、字段不存在、字段跨表等错误。</w:t>
      </w:r>
    </w:p>
    <w:p>
      <w:pPr>
        <w:spacing w:after="80"/>
        <w:ind w:left="454" w:right="170" w:firstLine="300"/>
        <w:pBdr>
          <w:left w:val="single" w:sz="18" w:space="8" w:color="8EAADB"/>
        </w:pBdr>
        <w:shd w:val="clear" w:fill="F2F5FA"/>
      </w:pPr>
      <w:r>
        <w:rPr>
          <w:rFonts w:ascii="Times New Roman" w:hAnsi="Times New Roman" w:eastAsia="宋体"/>
        </w:rPr>
        <w:t>一个在检索之前校验驱动检索的指令，一个在检索之后校验最终产出的查询语句，两者所处环节相反、所要防止的失效形态不同、校验对象不同。对比文件 3 无法公开本申请区别技术特征（2）中的逐字段校验，也无法给出将其应用于路由决策数据生成环节的技术启示。</w:t>
      </w:r>
    </w:p>
    <w:p>
      <w:pPr>
        <w:spacing w:after="80"/>
        <w:ind w:left="454" w:right="170" w:firstLine="300"/>
        <w:pBdr>
          <w:left w:val="single" w:sz="18" w:space="8" w:color="8EAADB"/>
        </w:pBdr>
        <w:shd w:val="clear" w:fill="F2F5FA"/>
      </w:pPr>
      <w:r>
        <w:rPr>
          <w:rFonts w:ascii="Times New Roman" w:hAnsi="Times New Roman" w:eastAsia="宋体"/>
        </w:rPr>
        <w:t>此外，两者对校验不通过的处理方式也存在本质差异。对比文件 3 [0063] 段的处理方式是将不匹配信息反馈至大语言模型并补充修正指令、重新生成整条 SQL 语句，属于整体重新生成，且需要再次调用大语言模型。本申请的处理方式是仅对不合格的单个字段执行回退，合格字段予以保留，不再调用大语言模型，如说明书 [0027] 段所记载，该容错机制确保大语言模型在不同异常形态下均能以最小代价恢复有效决策，最大限度保留大语言模型已成功生成的信息。前者是整体重来，后者是局部修补并保留已有成果，技术手段和所要达到的效果均不相同。</w:t>
      </w:r>
    </w:p>
    <w:p>
      <w:pPr>
        <w:spacing w:after="40"/>
      </w:pPr>
    </w:p>
    <w:p>
      <w:pPr>
        <w:pStyle w:val="Heading2"/>
      </w:pPr>
      <w:r>
        <w:t>4.3 补充三：正面回应"执行多路径检索为常规选择"</w:t>
      </w:r>
    </w:p>
    <w:p>
      <w:pPr>
        <w:ind w:firstLine="420"/>
      </w:pPr>
      <w:r>
        <w:rPr>
          <w:rFonts w:ascii="Times New Roman" w:hAnsi="Times New Roman" w:eastAsia="宋体"/>
        </w:rPr>
        <w:t>审查意见对区别技术特征（2）中的多路径检索部分只用了一句话带过。代理稿在区别技术特征（2）的开头把这一步列进去了，正文却没有任何回应。</w:t>
      </w:r>
      <w:r>
        <w:rPr>
          <w:rFonts w:ascii="Times New Roman" w:hAnsi="Times New Roman" w:eastAsia="宋体"/>
          <w:b/>
        </w:rPr>
        <w:t>列而不答，等于默认。</w:t>
      </w:r>
    </w:p>
    <w:p>
      <w:pPr>
        <w:ind w:firstLine="420"/>
      </w:pPr>
      <w:r>
        <w:rPr>
          <w:rFonts w:ascii="Times New Roman" w:hAnsi="Times New Roman" w:eastAsia="宋体"/>
        </w:rPr>
        <w:t>建议补充以下内容。</w:t>
      </w:r>
    </w:p>
    <w:p>
      <w:pPr>
        <w:spacing w:after="80"/>
        <w:ind w:left="454" w:right="170" w:firstLine="300"/>
        <w:pBdr>
          <w:left w:val="single" w:sz="18" w:space="8" w:color="8EAADB"/>
        </w:pBdr>
        <w:shd w:val="clear" w:fill="F2F5FA"/>
      </w:pPr>
      <w:r>
        <w:rPr>
          <w:rFonts w:ascii="Times New Roman" w:hAnsi="Times New Roman" w:eastAsia="宋体"/>
        </w:rPr>
        <w:t>审查意见针对区别技术特征（2）中的多路径检索部分认为："当通过字段映射校验，获取最终的 SQL 语句之后，执行多路径检索，得到目标检索结果为本领域技术人员的常规选择。"申请人不认可该认定。</w:t>
      </w:r>
    </w:p>
    <w:p>
      <w:pPr>
        <w:spacing w:after="80"/>
        <w:ind w:left="454" w:right="170" w:firstLine="300"/>
        <w:pBdr>
          <w:left w:val="single" w:sz="18" w:space="8" w:color="8EAADB"/>
        </w:pBdr>
        <w:shd w:val="clear" w:fill="F2F5FA"/>
      </w:pPr>
      <w:r>
        <w:rPr>
          <w:rFonts w:ascii="Times New Roman" w:hAnsi="Times New Roman" w:eastAsia="宋体"/>
        </w:rPr>
        <w:t>首先，该认定与对比文件 3 的实际流程不符。在对比文件 3 中，SQL 语句是整个方法的最终产物，其权利要求 1 的最后一个步骤即为"根据上下文增强的提示词生成 SQL 语句"，该文件的流程到此为止，生成的 SQL 语句用于在目标数据库中执行，其后并不存在、也不需要任何多路径检索环节。审查意见所称"获取最终的 SQL 语句之后执行多路径检索"，在对比文件 3 中没有对应的技术内容。</w:t>
      </w:r>
    </w:p>
    <w:p>
      <w:pPr>
        <w:spacing w:after="80"/>
        <w:ind w:left="454" w:right="170" w:firstLine="300"/>
        <w:pBdr>
          <w:left w:val="single" w:sz="18" w:space="8" w:color="8EAADB"/>
        </w:pBdr>
        <w:shd w:val="clear" w:fill="F2F5FA"/>
      </w:pPr>
      <w:r>
        <w:rPr>
          <w:rFonts w:ascii="Times New Roman" w:hAnsi="Times New Roman" w:eastAsia="宋体"/>
        </w:rPr>
        <w:t>其次，对比文件 3 中确实存在多路检索，即模式检索、案例检索与业务规则检索，但该检索发生在生成 SQL 语句</w:t>
      </w:r>
      <w:r>
        <w:rPr>
          <w:rFonts w:ascii="Times New Roman" w:hAnsi="Times New Roman" w:eastAsia="宋体"/>
          <w:b/>
        </w:rPr>
        <w:t>之前</w:t>
      </w:r>
      <w:r>
        <w:rPr>
          <w:rFonts w:ascii="Times New Roman" w:hAnsi="Times New Roman" w:eastAsia="宋体"/>
        </w:rPr>
        <w:t>，其产物是表结构、字段属性、业务指标口径、历史案例操作逻辑等知识素材，用作大语言模型生成 SQL 时的上下文输入，并非交付给用户的检索结果。审查意见将该文件中位于流程前段、用途为提供上下文的多路检索，与本申请中位于流程末端、用途为产出目标检索结果的多路径检索混为一谈。</w:t>
      </w:r>
    </w:p>
    <w:p>
      <w:pPr>
        <w:spacing w:after="80"/>
        <w:ind w:left="454" w:right="170" w:firstLine="300"/>
        <w:pBdr>
          <w:left w:val="single" w:sz="18" w:space="8" w:color="8EAADB"/>
        </w:pBdr>
        <w:shd w:val="clear" w:fill="F2F5FA"/>
      </w:pPr>
      <w:r>
        <w:rPr>
          <w:rFonts w:ascii="Times New Roman" w:hAnsi="Times New Roman" w:eastAsia="宋体"/>
        </w:rPr>
        <w:t>最后，该认定未说明理由，也未提供任何证据。请审查员就此补充说明理由或提供证据。</w:t>
      </w:r>
    </w:p>
    <w:p>
      <w:pPr>
        <w:spacing w:after="40"/>
      </w:pPr>
    </w:p>
    <w:p>
      <w:pPr>
        <w:pStyle w:val="Heading2"/>
      </w:pPr>
      <w:r>
        <w:t>4.4 补充四：预防性挡掉对比文件 3 中的预设权重</w:t>
      </w:r>
    </w:p>
    <w:p>
      <w:pPr>
        <w:ind w:firstLine="420"/>
      </w:pPr>
      <w:r>
        <w:rPr>
          <w:rFonts w:ascii="Times New Roman" w:hAnsi="Times New Roman" w:eastAsia="宋体"/>
        </w:rPr>
        <w:t>审查意见本轮</w:t>
      </w:r>
      <w:r>
        <w:rPr>
          <w:rFonts w:ascii="Times New Roman" w:hAnsi="Times New Roman" w:eastAsia="宋体"/>
          <w:b/>
        </w:rPr>
        <w:t>没有</w:t>
      </w:r>
      <w:r>
        <w:rPr>
          <w:rFonts w:ascii="Times New Roman" w:hAnsi="Times New Roman" w:eastAsia="宋体"/>
        </w:rPr>
        <w:t>援引对比文件 3 中的权重记载来对应本申请的检索路径融合权重值，但该文件中确有相关内容，审查员在下一轮或驳回决定中完全可能补上。建议本轮主动说明，比等对方提出后再辩要主动。</w:t>
      </w:r>
    </w:p>
    <w:p>
      <w:pPr>
        <w:ind w:firstLine="420"/>
      </w:pPr>
      <w:r>
        <w:rPr>
          <w:rFonts w:ascii="Times New Roman" w:hAnsi="Times New Roman" w:eastAsia="宋体"/>
        </w:rPr>
        <w:t>相关记载为：对比文件 3 [0038] 段"检索优先级序列可以根据需要自行设定，例如，数据库模式知识权重 0.8、业务规则知识 0.6、案例知识 0.4"；[0045] 段"协同关系的知识按关联强度加权融合（强关联权重 0.7、弱关联 0.3）"。</w:t>
      </w:r>
    </w:p>
    <w:p>
      <w:pPr>
        <w:ind w:firstLine="420"/>
      </w:pPr>
      <w:r>
        <w:rPr>
          <w:rFonts w:ascii="Times New Roman" w:hAnsi="Times New Roman" w:eastAsia="宋体"/>
        </w:rPr>
        <w:t>建议补充以下内容。</w:t>
      </w:r>
    </w:p>
    <w:p>
      <w:pPr>
        <w:spacing w:after="80"/>
        <w:ind w:left="454" w:right="170" w:firstLine="300"/>
        <w:pBdr>
          <w:left w:val="single" w:sz="18" w:space="8" w:color="8EAADB"/>
        </w:pBdr>
        <w:shd w:val="clear" w:fill="F2F5FA"/>
      </w:pPr>
      <w:r>
        <w:rPr>
          <w:rFonts w:ascii="Times New Roman" w:hAnsi="Times New Roman" w:eastAsia="宋体"/>
        </w:rPr>
        <w:t>需要一并说明的是，对比文件 3 [0038] 段与 [0045] 段虽然出现了权重数值，但与本申请的检索路径融合权重值有本质区别。</w:t>
      </w:r>
    </w:p>
    <w:p>
      <w:pPr>
        <w:spacing w:after="80"/>
        <w:ind w:left="454" w:right="170" w:firstLine="300"/>
        <w:pBdr>
          <w:left w:val="single" w:sz="18" w:space="8" w:color="8EAADB"/>
        </w:pBdr>
        <w:shd w:val="clear" w:fill="F2F5FA"/>
      </w:pPr>
      <w:r>
        <w:rPr>
          <w:rFonts w:ascii="Times New Roman" w:hAnsi="Times New Roman" w:eastAsia="宋体"/>
        </w:rPr>
        <w:t>对比文件 3 的检索优先级权重按该文件原文记载"可以根据需要自行设定"，是由人工预先配置的固定常数；其融合规则中的强关联权重 0.7、弱关联 0.3 同样是预先设定的固定取值，由知识类型之间的关联强度按规则判定，与用户当次输入的查询内容无关。无论用户查询什么，这些权重都不发生变化。</w:t>
      </w:r>
    </w:p>
    <w:p>
      <w:pPr>
        <w:spacing w:after="80"/>
        <w:ind w:left="454" w:right="170" w:firstLine="300"/>
        <w:pBdr>
          <w:left w:val="single" w:sz="18" w:space="8" w:color="8EAADB"/>
        </w:pBdr>
        <w:shd w:val="clear" w:fill="F2F5FA"/>
      </w:pPr>
      <w:r>
        <w:rPr>
          <w:rFonts w:ascii="Times New Roman" w:hAnsi="Times New Roman" w:eastAsia="宋体"/>
        </w:rPr>
        <w:t>本申请的检索路径融合权重值是大语言模型针对当次查询文本在单次推理中与其他决策维度联合生成的结果，随查询内容而变化，并且需要经过键名是否属于预设检索路径标识集合的校验、权重值是否为浮点数的校验以及是否超出预设权重值域的裁剪处理。本申请说明书 [0096] 段给出了具体示例，大语言模型单次推理输出的各检索路径原始权重为 W_llm={es:0.3, chunks:0.3, graph:0.2, table:0.2, temporal:0.0}，其中各键名分别对应关键词全文、向量语义、知识图谱遍历、表格结构化与时间序列五条检索路径。</w:t>
      </w:r>
    </w:p>
    <w:p>
      <w:pPr>
        <w:spacing w:after="80"/>
        <w:ind w:left="454" w:right="170" w:firstLine="300"/>
        <w:pBdr>
          <w:left w:val="single" w:sz="18" w:space="8" w:color="8EAADB"/>
        </w:pBdr>
        <w:shd w:val="clear" w:fill="F2F5FA"/>
      </w:pPr>
      <w:r>
        <w:rPr>
          <w:rFonts w:ascii="Times New Roman" w:hAnsi="Times New Roman" w:eastAsia="宋体"/>
        </w:rPr>
        <w:t>本申请说明书 [0038] 至 [0039] 段虽然也记载了系统配置的默认权重（关键词全文 0.35、表格结构化 0.35、知识图谱遍历 0.15、向量语义 0.15、时间序列 0.0），但该默认权重属于分层兜底机制中的层级二，仅在大语言模型调用整体失败或其返回的权重集合为空时启用，并非常规路径。这一点恰好反证：在本申请中，由大语言模型按查询生成权重是主路径，人工预设值只是异常情况下的退路；而在对比文件 3 中，人工预设是唯一的方式，该文件不存在由模型按查询生成路径权重的技术内容。</w:t>
      </w:r>
    </w:p>
    <w:p>
      <w:pPr>
        <w:spacing w:after="80"/>
        <w:ind w:left="454" w:right="170" w:firstLine="300"/>
        <w:pBdr>
          <w:left w:val="single" w:sz="18" w:space="8" w:color="8EAADB"/>
        </w:pBdr>
        <w:shd w:val="clear" w:fill="F2F5FA"/>
      </w:pPr>
      <w:r>
        <w:rPr>
          <w:rFonts w:ascii="Times New Roman" w:hAnsi="Times New Roman" w:eastAsia="宋体"/>
        </w:rPr>
        <w:t>综上，两者在产生方式（人工预设与模型按查询生成）、是否随查询变化（固定与动态）以及是否需要合法性校验（不需要与需要）上均不相同。</w:t>
      </w:r>
    </w:p>
    <w:p>
      <w:pPr>
        <w:spacing w:after="40"/>
      </w:pPr>
    </w:p>
    <w:p>
      <w:pPr>
        <w:pStyle w:val="Heading2"/>
      </w:pPr>
      <w:r>
        <w:t>4.5 修改一：删除权利要求 1 中残留的"中的至少一个"</w:t>
      </w:r>
    </w:p>
    <w:p>
      <w:pPr>
        <w:ind w:firstLine="420"/>
      </w:pPr>
      <w:r>
        <w:rPr>
          <w:rFonts w:ascii="Times New Roman" w:hAnsi="Times New Roman" w:eastAsia="宋体"/>
        </w:rPr>
        <w:t>本轮修改把多维度结构化路由决策数据一句中的"中的至少一个"删除了，五个维度全部列为必要特征，这一步是对的。但</w:t>
      </w:r>
      <w:r>
        <w:rPr>
          <w:rFonts w:ascii="Times New Roman" w:hAnsi="Times New Roman" w:eastAsia="宋体"/>
          <w:b/>
        </w:rPr>
        <w:t>系统指令信息一句中的"中的至少一个"仍然保留着</w:t>
      </w:r>
      <w:r>
        <w:rPr>
          <w:rFonts w:ascii="Times New Roman" w:hAnsi="Times New Roman" w:eastAsia="宋体"/>
        </w:rPr>
        <w:t>，造成权利要求 1 内部前后不一致。</w:t>
      </w:r>
    </w:p>
    <w:p>
      <w:pPr>
        <w:ind w:firstLine="420"/>
      </w:pPr>
      <w:r>
        <w:rPr>
          <w:rFonts w:ascii="Times New Roman" w:hAnsi="Times New Roman" w:eastAsia="宋体"/>
        </w:rPr>
        <w:t>现有表述的问题在于：系统指令信息可以只有一类，而决策数据一句写的是"包括与所述系统指令信息中</w:t>
      </w:r>
      <w:r>
        <w:rPr>
          <w:rFonts w:ascii="Times New Roman" w:hAnsi="Times New Roman" w:eastAsia="宋体"/>
          <w:b/>
        </w:rPr>
        <w:t>各指令</w:t>
      </w:r>
      <w:r>
        <w:rPr>
          <w:rFonts w:ascii="Times New Roman" w:hAnsi="Times New Roman" w:eastAsia="宋体"/>
        </w:rPr>
        <w:t>对应的查询意图类型、检索范围、图遍历策略、检索路径融合权重值、时间约束信息"五项全列。若系统指令信息只有一类，则不存在与五个维度一一对应的"各指令"。这一矛盾可能引来专利法第二十六条第四款的问题，也削弱了各维度联合生成、相互交叉参考这一核心论点。</w:t>
      </w:r>
    </w:p>
    <w:p>
      <w:pPr>
        <w:ind w:firstLine="420"/>
      </w:pPr>
      <w:r>
        <w:rPr>
          <w:rFonts w:ascii="Times New Roman" w:hAnsi="Times New Roman" w:eastAsia="宋体"/>
        </w:rPr>
        <w:t>建议将该句改为：</w:t>
      </w:r>
    </w:p>
    <w:p>
      <w:pPr>
        <w:spacing w:after="80"/>
        <w:ind w:left="454" w:right="170" w:firstLine="300"/>
        <w:pBdr>
          <w:left w:val="single" w:sz="18" w:space="8" w:color="8EAADB"/>
        </w:pBdr>
        <w:shd w:val="clear" w:fill="F2F5FA"/>
      </w:pPr>
      <w:r>
        <w:rPr>
          <w:rFonts w:ascii="Times New Roman" w:hAnsi="Times New Roman" w:eastAsia="宋体"/>
        </w:rPr>
        <w:t>基于所述查询文本生成若干系统指令信息，所述系统指令信息包括查询意图类型指令信息、检索范围指令信息、图遍历策略指令信息、检索路径融合权重值指令信息和时间约束指令信息；</w:t>
      </w:r>
    </w:p>
    <w:p>
      <w:pPr>
        <w:spacing w:after="40"/>
      </w:pPr>
    </w:p>
    <w:p>
      <w:pPr>
        <w:ind w:firstLine="420"/>
      </w:pPr>
      <w:r>
        <w:rPr>
          <w:rFonts w:ascii="Times New Roman" w:hAnsi="Times New Roman" w:eastAsia="宋体"/>
        </w:rPr>
        <w:t>即删去结尾的"中的至少一个"。原始权利要求 1 中本有该表述，删除属于范围缩小，不涉及超范围问题。</w:t>
      </w:r>
    </w:p>
    <w:p>
      <w:pPr>
        <w:pStyle w:val="Heading2"/>
      </w:pPr>
      <w:r>
        <w:t>4.6 修改二：必须删除"并行驱动"的表述，说明书中没有这个记载</w:t>
      </w:r>
    </w:p>
    <w:p>
      <w:pPr>
        <w:ind w:firstLine="420"/>
      </w:pPr>
      <w:r>
        <w:rPr>
          <w:rFonts w:ascii="Times New Roman" w:hAnsi="Times New Roman" w:eastAsia="宋体"/>
        </w:rPr>
        <w:t>代理稿在描述区别技术特征（1）时使用了"一次前向传播"的说法。说明书 [0025] 段的原文是"大语言模型单次推理调用是指仅执行一次模型前向传播"，两者一致，可以继续使用。</w:t>
      </w:r>
    </w:p>
    <w:p>
      <w:pPr>
        <w:ind w:firstLine="420"/>
      </w:pPr>
      <w:r>
        <w:rPr>
          <w:rFonts w:ascii="Times New Roman" w:hAnsi="Times New Roman" w:eastAsia="宋体"/>
        </w:rPr>
        <w:t>但代理稿多处使用了"用于</w:t>
      </w:r>
      <w:r>
        <w:rPr>
          <w:rFonts w:ascii="Times New Roman" w:hAnsi="Times New Roman" w:eastAsia="宋体"/>
          <w:b/>
        </w:rPr>
        <w:t>并行</w:t>
      </w:r>
      <w:r>
        <w:rPr>
          <w:rFonts w:ascii="Times New Roman" w:hAnsi="Times New Roman" w:eastAsia="宋体"/>
        </w:rPr>
        <w:t>驱动五条异构检索路径"的表述，</w:t>
      </w:r>
      <w:r>
        <w:rPr>
          <w:rFonts w:ascii="Times New Roman" w:hAnsi="Times New Roman" w:eastAsia="宋体"/>
          <w:b/>
        </w:rPr>
        <w:t>这个说法没有依据，必须改掉。</w:t>
      </w:r>
    </w:p>
    <w:p>
      <w:pPr>
        <w:ind w:firstLine="420"/>
      </w:pPr>
      <w:r>
        <w:rPr>
          <w:rFonts w:ascii="Times New Roman" w:hAnsi="Times New Roman" w:eastAsia="宋体"/>
        </w:rPr>
        <w:t>已对本申请公开文本 CN122388163A 全文做过检索，说明书中"并行""并发"等字样一次都没有出现。说明书对多路径检索执行方式的表述是 [0115] 段的"各路径独立检索并输出带排名的结果列表"，以及权利要求和说明书中的"分别对每个检索路径进行对应的决策检索和排序"。权利要求 1 的表述则是"基于所述目标结构化路由决策数据执行多路径检索"，同样没有限定并行。</w:t>
      </w:r>
    </w:p>
    <w:p>
      <w:pPr>
        <w:ind w:firstLine="420"/>
      </w:pPr>
      <w:r>
        <w:rPr>
          <w:rFonts w:ascii="Times New Roman" w:hAnsi="Times New Roman" w:eastAsia="宋体"/>
        </w:rPr>
        <w:t>保留这个表述有两重风险。一是主张的内容超出权利要求的限定范围，审查员可以直接以未记载于权利要求为由不予考虑；二是说明书中也无此记载，一旦审查员较真，反而会给对方留下攻击口实。</w:t>
      </w:r>
    </w:p>
    <w:p>
      <w:pPr>
        <w:ind w:firstLine="420"/>
      </w:pPr>
      <w:r>
        <w:rPr>
          <w:rFonts w:ascii="Times New Roman" w:hAnsi="Times New Roman" w:eastAsia="宋体"/>
        </w:rPr>
        <w:t>需要注意的是，审查意见中也出现了"在一次调用中并行驱动五条异构检索路径"这句转述，那是审查员在复述申请人上一轮的陈述，源头仍在申请人一方，不能当作审查员的认可。</w:t>
      </w:r>
    </w:p>
    <w:p>
      <w:r>
        <w:rPr>
          <w:rFonts w:ascii="Times New Roman" w:hAnsi="Times New Roman" w:eastAsia="宋体"/>
          <w:b/>
        </w:rPr>
        <w:t>建议将意见陈述中所有"并行驱动五条异构检索路径"统一改为"驱动五条异构检索路径"，或改为"分别对五条异构检索路径执行对应的决策检索"。</w:t>
      </w:r>
      <w:r>
        <w:rPr>
          <w:rFonts w:ascii="Times New Roman" w:hAnsi="Times New Roman" w:eastAsia="宋体"/>
        </w:rPr>
        <w:t>改动之后论证力度不受影响，本申请的核心主张是决策数据在单次推理中联合生成，不依赖五条路径是否并行执行。</w:t>
      </w:r>
    </w:p>
    <w:p>
      <w:pPr>
        <w:ind w:firstLine="420"/>
      </w:pPr>
      <w:r>
        <w:rPr>
          <w:rFonts w:ascii="Times New Roman" w:hAnsi="Times New Roman" w:eastAsia="宋体"/>
        </w:rPr>
        <w:t>如果确实希望主张并行执行带来的效果，只能考虑另行论证，但由于说明书无记载，不建议在本轮提出。</w:t>
      </w:r>
    </w:p>
    <w:p>
      <w:pPr>
        <w:pStyle w:val="Heading1"/>
      </w:pPr>
      <w:r>
        <w:t>5. 策略建议</w:t>
      </w:r>
    </w:p>
    <w:p>
      <w:pPr>
        <w:pStyle w:val="Heading2"/>
      </w:pPr>
      <w:r>
        <w:t>5.1 提交前先与审查员电话沟通</w:t>
      </w:r>
    </w:p>
    <w:p>
      <w:pPr>
        <w:ind w:firstLine="420"/>
      </w:pPr>
      <w:r>
        <w:rPr>
          <w:rFonts w:ascii="Times New Roman" w:hAnsi="Times New Roman" w:eastAsia="宋体"/>
        </w:rPr>
        <w:t>通知书载明"未经预约，申请人和/或代理师不得前来国家知识产权局与审查员举行会晤"，反过来说经预约可以会晤，电话沟通同样可行，审查员电话为 010-53966185。</w:t>
      </w:r>
    </w:p>
    <w:p>
      <w:pPr>
        <w:ind w:firstLine="420"/>
      </w:pPr>
      <w:r>
        <w:rPr>
          <w:rFonts w:ascii="Times New Roman" w:hAnsi="Times New Roman" w:eastAsia="宋体"/>
        </w:rPr>
        <w:t>理由是：本案已进入第二次审查意见阶段，下一步很可能是驳回决定；同时争议焦点已经收敛到几个非常具体的事实问题上，即对比文件 3 究竟有没有公开单次推理联合生成、校验环节的对象与流程位置是否相同。这类争议在电话中十分钟可以说清，而书面往返一轮需要两个月并且未必说得清。建议由代理师在定稿前先行沟通，了解审查员的真实顾虑之后再确定答复重点。</w:t>
      </w:r>
    </w:p>
    <w:p>
      <w:pPr>
        <w:pStyle w:val="Heading2"/>
      </w:pPr>
      <w:r>
        <w:t>5.2 评估是否在驳回前提出分案申请</w:t>
      </w:r>
    </w:p>
    <w:p>
      <w:pPr>
        <w:ind w:firstLine="420"/>
      </w:pPr>
      <w:r>
        <w:rPr>
          <w:rFonts w:ascii="Times New Roman" w:hAnsi="Times New Roman" w:eastAsia="宋体"/>
        </w:rPr>
        <w:t>本案已接近驳回边缘。驳回决定生效后，本申请这条线只剩复审程序。建议由代理师评估说明书中是否还有尚未被充分主张的内容可以另行申请，作为保底。</w:t>
      </w:r>
    </w:p>
    <w:p>
      <w:pPr>
        <w:ind w:firstLine="420"/>
      </w:pPr>
      <w:r>
        <w:rPr>
          <w:rFonts w:ascii="Times New Roman" w:hAnsi="Times New Roman" w:eastAsia="宋体"/>
        </w:rPr>
        <w:t>从审查意见的薄弱程度看，权利要求 5 至 7 所涉及的内容值得考虑，即基于用户历史画像检索路径权重集合与查询文本所属数据集主题集合计算用户画像置信度、判断是否满足预设激活条件、对校验后的路径融合权重值做乘性叠加调整这一套机制。审查员对这部分的否定理由是"为了提高多路径检索的决策精度，本领域技术人员容易想到"，同样没有任何证据，是全部论证中最薄弱的一处。</w:t>
      </w:r>
    </w:p>
    <w:p>
      <w:pPr>
        <w:ind w:firstLine="420"/>
      </w:pPr>
      <w:r>
        <w:rPr>
          <w:rFonts w:ascii="Times New Roman" w:hAnsi="Times New Roman" w:eastAsia="宋体"/>
        </w:rPr>
        <w:t>分案申请的时机受法定期限限制，具体是否可行、何时提出，请代理师根据本案实际状态判断。</w:t>
      </w:r>
    </w:p>
    <w:p>
      <w:pPr>
        <w:pStyle w:val="Heading1"/>
      </w:pPr>
      <w:r>
        <w:t>6. 本轮答复的建议结构</w:t>
      </w:r>
    </w:p>
    <w:p>
      <w:pPr>
        <w:ind w:firstLine="420"/>
      </w:pPr>
      <w:r>
        <w:rPr>
          <w:rFonts w:ascii="Times New Roman" w:hAnsi="Times New Roman" w:eastAsia="宋体"/>
        </w:rPr>
        <w:t>在代理机构现有稿件的基础上调整为：</w:t>
      </w:r>
    </w:p>
    <w:p>
      <w:pPr>
        <w:pStyle w:val="ListNumber"/>
        <w:spacing w:after="60"/>
      </w:pPr>
      <w:r>
        <w:rPr>
          <w:rFonts w:ascii="Times New Roman" w:hAnsi="Times New Roman" w:eastAsia="宋体"/>
        </w:rPr>
        <w:t>对权利要求书的修改（保留现有内容，补充说明删除"中的至少一个"的依据）</w:t>
      </w:r>
    </w:p>
    <w:p>
      <w:pPr>
        <w:pStyle w:val="ListNumber"/>
        <w:spacing w:after="60"/>
      </w:pPr>
      <w:r>
        <w:rPr>
          <w:rFonts w:ascii="Times New Roman" w:hAnsi="Times New Roman" w:eastAsia="宋体"/>
        </w:rPr>
        <w:t>修改后的权利要求 1 具有创造性</w:t>
      </w:r>
    </w:p>
    <w:p>
      <w:pPr>
        <w:pStyle w:val="ListBullet"/>
        <w:spacing w:after="60"/>
      </w:pPr>
      <w:r>
        <w:rPr>
          <w:rFonts w:ascii="Times New Roman" w:hAnsi="Times New Roman" w:eastAsia="宋体"/>
        </w:rPr>
        <w:t>2.1 区别技术特征（1）的认定</w:t>
      </w:r>
    </w:p>
    <w:p>
      <w:pPr>
        <w:pStyle w:val="ListBullet"/>
        <w:spacing w:after="60"/>
      </w:pPr>
      <w:r>
        <w:rPr>
          <w:rFonts w:ascii="Times New Roman" w:hAnsi="Times New Roman" w:eastAsia="宋体"/>
        </w:rPr>
        <w:t>2.2 对比文件 3 的初步意图信息与本申请的单次推理联合生成不同（</w:t>
      </w:r>
      <w:r>
        <w:rPr>
          <w:rFonts w:ascii="Times New Roman" w:hAnsi="Times New Roman" w:eastAsia="宋体"/>
          <w:b/>
        </w:rPr>
        <w:t>保留代理稿现有内容</w:t>
      </w:r>
      <w:r>
        <w:rPr>
          <w:rFonts w:ascii="Times New Roman" w:hAnsi="Times New Roman" w:eastAsia="宋体"/>
        </w:rPr>
        <w:t>）</w:t>
      </w:r>
    </w:p>
    <w:p>
      <w:pPr>
        <w:pStyle w:val="ListBullet"/>
        <w:spacing w:after="60"/>
      </w:pPr>
      <w:r>
        <w:rPr>
          <w:rFonts w:ascii="Times New Roman" w:hAnsi="Times New Roman" w:eastAsia="宋体"/>
        </w:rPr>
        <w:t>2.3 对比文件 3 的多维度上下文信息与本申请的路由决策数据不同（</w:t>
      </w:r>
      <w:r>
        <w:rPr>
          <w:rFonts w:ascii="Times New Roman" w:hAnsi="Times New Roman" w:eastAsia="宋体"/>
          <w:b/>
        </w:rPr>
        <w:t>保留代理稿现有内容</w:t>
      </w:r>
      <w:r>
        <w:rPr>
          <w:rFonts w:ascii="Times New Roman" w:hAnsi="Times New Roman" w:eastAsia="宋体"/>
        </w:rPr>
        <w:t>）</w:t>
      </w:r>
    </w:p>
    <w:p>
      <w:pPr>
        <w:pStyle w:val="ListBullet"/>
        <w:spacing w:after="60"/>
      </w:pPr>
      <w:r>
        <w:rPr>
          <w:rFonts w:ascii="Times New Roman" w:hAnsi="Times New Roman" w:eastAsia="宋体"/>
        </w:rPr>
        <w:t>2.4 对比文件 2 无法给出相应启示（</w:t>
      </w:r>
      <w:r>
        <w:rPr>
          <w:rFonts w:ascii="Times New Roman" w:hAnsi="Times New Roman" w:eastAsia="宋体"/>
          <w:b/>
        </w:rPr>
        <w:t>保留代理稿现有内容</w:t>
      </w:r>
      <w:r>
        <w:rPr>
          <w:rFonts w:ascii="Times New Roman" w:hAnsi="Times New Roman" w:eastAsia="宋体"/>
        </w:rPr>
        <w:t>）</w:t>
      </w:r>
    </w:p>
    <w:p>
      <w:pPr>
        <w:pStyle w:val="ListBullet"/>
        <w:spacing w:after="60"/>
      </w:pPr>
      <w:r>
        <w:rPr>
          <w:rFonts w:ascii="Times New Roman" w:hAnsi="Times New Roman" w:eastAsia="宋体"/>
        </w:rPr>
        <w:t>2.5 对比文件 3 构成反向教导，效率动机不能推导出本申请方案（</w:t>
      </w:r>
      <w:r>
        <w:rPr>
          <w:rFonts w:ascii="Times New Roman" w:hAnsi="Times New Roman" w:eastAsia="宋体"/>
          <w:b/>
        </w:rPr>
        <w:t>新增，见 4.1</w:t>
      </w:r>
      <w:r>
        <w:rPr>
          <w:rFonts w:ascii="Times New Roman" w:hAnsi="Times New Roman" w:eastAsia="宋体"/>
        </w:rPr>
        <w:t>）</w:t>
      </w:r>
    </w:p>
    <w:p>
      <w:pPr>
        <w:pStyle w:val="ListBullet"/>
        <w:spacing w:after="60"/>
      </w:pPr>
      <w:r>
        <w:rPr>
          <w:rFonts w:ascii="Times New Roman" w:hAnsi="Times New Roman" w:eastAsia="宋体"/>
        </w:rPr>
        <w:t>2.6 区别技术特征（2）的认定</w:t>
      </w:r>
    </w:p>
    <w:p>
      <w:pPr>
        <w:pStyle w:val="ListBullet"/>
        <w:spacing w:after="60"/>
      </w:pPr>
      <w:r>
        <w:rPr>
          <w:rFonts w:ascii="Times New Roman" w:hAnsi="Times New Roman" w:eastAsia="宋体"/>
        </w:rPr>
        <w:t>2.7 对比文件 3 的字段映射校验与本申请的逐字段校验不同（</w:t>
      </w:r>
      <w:r>
        <w:rPr>
          <w:rFonts w:ascii="Times New Roman" w:hAnsi="Times New Roman" w:eastAsia="宋体"/>
          <w:b/>
        </w:rPr>
        <w:t>保留代理稿现有内容</w:t>
      </w:r>
      <w:r>
        <w:rPr>
          <w:rFonts w:ascii="Times New Roman" w:hAnsi="Times New Roman" w:eastAsia="宋体"/>
        </w:rPr>
        <w:t>）</w:t>
      </w:r>
    </w:p>
    <w:p>
      <w:pPr>
        <w:pStyle w:val="ListBullet"/>
        <w:spacing w:after="60"/>
      </w:pPr>
      <w:r>
        <w:rPr>
          <w:rFonts w:ascii="Times New Roman" w:hAnsi="Times New Roman" w:eastAsia="宋体"/>
        </w:rPr>
        <w:t>2.8 审查意见对对比文件 3 的两处对应关系彼此矛盾，且流程顺序相反（</w:t>
      </w:r>
      <w:r>
        <w:rPr>
          <w:rFonts w:ascii="Times New Roman" w:hAnsi="Times New Roman" w:eastAsia="宋体"/>
          <w:b/>
        </w:rPr>
        <w:t>新增，见 4.2</w:t>
      </w:r>
      <w:r>
        <w:rPr>
          <w:rFonts w:ascii="Times New Roman" w:hAnsi="Times New Roman" w:eastAsia="宋体"/>
        </w:rPr>
        <w:t>）</w:t>
      </w:r>
    </w:p>
    <w:p>
      <w:pPr>
        <w:pStyle w:val="ListBullet"/>
        <w:spacing w:after="60"/>
      </w:pPr>
      <w:r>
        <w:rPr>
          <w:rFonts w:ascii="Times New Roman" w:hAnsi="Times New Roman" w:eastAsia="宋体"/>
        </w:rPr>
        <w:t>2.9 关于执行多路径检索的回应（</w:t>
      </w:r>
      <w:r>
        <w:rPr>
          <w:rFonts w:ascii="Times New Roman" w:hAnsi="Times New Roman" w:eastAsia="宋体"/>
          <w:b/>
        </w:rPr>
        <w:t>新增，见 4.3</w:t>
      </w:r>
      <w:r>
        <w:rPr>
          <w:rFonts w:ascii="Times New Roman" w:hAnsi="Times New Roman" w:eastAsia="宋体"/>
        </w:rPr>
        <w:t>）</w:t>
      </w:r>
    </w:p>
    <w:p>
      <w:pPr>
        <w:pStyle w:val="ListBullet"/>
        <w:spacing w:after="60"/>
      </w:pPr>
      <w:r>
        <w:rPr>
          <w:rFonts w:ascii="Times New Roman" w:hAnsi="Times New Roman" w:eastAsia="宋体"/>
        </w:rPr>
        <w:t>2.10 关于对比文件 3 中预设权重的说明（</w:t>
      </w:r>
      <w:r>
        <w:rPr>
          <w:rFonts w:ascii="Times New Roman" w:hAnsi="Times New Roman" w:eastAsia="宋体"/>
          <w:b/>
        </w:rPr>
        <w:t>新增，见 4.4</w:t>
      </w:r>
      <w:r>
        <w:rPr>
          <w:rFonts w:ascii="Times New Roman" w:hAnsi="Times New Roman" w:eastAsia="宋体"/>
        </w:rPr>
        <w:t>）</w:t>
      </w:r>
    </w:p>
    <w:p>
      <w:pPr>
        <w:pStyle w:val="ListNumber"/>
        <w:spacing w:after="60"/>
      </w:pPr>
      <w:r>
        <w:rPr>
          <w:rFonts w:ascii="Times New Roman" w:hAnsi="Times New Roman" w:eastAsia="宋体"/>
        </w:rPr>
        <w:t>审查意见中的公知常识认定缺乏理由和证据（</w:t>
      </w:r>
      <w:r>
        <w:rPr>
          <w:rFonts w:ascii="Times New Roman" w:hAnsi="Times New Roman" w:eastAsia="宋体"/>
          <w:b/>
        </w:rPr>
        <w:t>新增</w:t>
      </w:r>
      <w:r>
        <w:rPr>
          <w:rFonts w:ascii="Times New Roman" w:hAnsi="Times New Roman" w:eastAsia="宋体"/>
        </w:rPr>
        <w:t>，本轮涉及的至少有四处：基于查询文本生成查询指令为常规查询手段、多维度路由决策数据各维度内容为容易想到、执行多路径检索为常规选择、权利要求 4 的浮点数判断与权利要求 7 的加权融合为常规选择）</w:t>
      </w:r>
    </w:p>
    <w:p>
      <w:pPr>
        <w:pStyle w:val="ListNumber"/>
        <w:spacing w:after="60"/>
      </w:pPr>
      <w:r>
        <w:rPr>
          <w:rFonts w:ascii="Times New Roman" w:hAnsi="Times New Roman" w:eastAsia="宋体"/>
        </w:rPr>
        <w:t>权利要求 2 至 9 具有创造性（保留代理稿现有内容）</w:t>
      </w:r>
    </w:p>
    <w:p>
      <w:pPr>
        <w:ind w:firstLine="420"/>
      </w:pPr>
      <w:r>
        <w:rPr>
          <w:rFonts w:ascii="Times New Roman" w:hAnsi="Times New Roman" w:eastAsia="宋体"/>
        </w:rPr>
        <w:t>第 3 项与上一轮建议的内容相同，上一轮未被采纳。本轮审查意见继续大量使用无证据的公知常识认定，且其中"执行多路径检索为常规选择"一句直接决定权利要求 1 最后一个步骤的存废，建议本轮务必写入。</w:t>
      </w:r>
    </w:p>
    <w:p>
      <w:pPr>
        <w:pStyle w:val="Heading1"/>
      </w:pPr>
      <w:r>
        <w:t>附录 A：本申请说明书可援引段落</w:t>
      </w:r>
    </w:p>
    <w:tbl>
      <w:tblPr>
        <w:tblStyle w:val="TableGrid"/>
        <w:tblW w:type="auto" w:w="0"/>
        <w:jc w:val="center"/>
        <w:tblLook w:firstColumn="1" w:firstRow="1" w:lastColumn="0" w:lastRow="0" w:noHBand="0" w:noVBand="1" w:val="04A0"/>
      </w:tblPr>
      <w:tblGrid>
        <w:gridCol w:w="3097"/>
        <w:gridCol w:w="3097"/>
        <w:gridCol w:w="3097"/>
      </w:tblGrid>
      <w:tr>
        <w:tc>
          <w:tcPr>
            <w:tcW w:type="dxa" w:w="3097"/>
            <w:shd w:val="clear" w:fill="DEEAF6"/>
          </w:tcPr>
          <w:p>
            <w:r>
              <w:rPr>
                <w:b/>
                <w:sz w:val="19"/>
              </w:rPr>
            </w:r>
            <w:r>
              <w:rPr>
                <w:rFonts w:ascii="Times New Roman" w:hAnsi="Times New Roman" w:eastAsia="宋体"/>
                <w:b/>
                <w:sz w:val="19"/>
              </w:rPr>
              <w:t>段号</w:t>
            </w:r>
          </w:p>
        </w:tc>
        <w:tc>
          <w:tcPr>
            <w:tcW w:type="dxa" w:w="3097"/>
            <w:shd w:val="clear" w:fill="DEEAF6"/>
          </w:tcPr>
          <w:p>
            <w:r>
              <w:rPr>
                <w:b/>
                <w:sz w:val="19"/>
              </w:rPr>
            </w:r>
            <w:r>
              <w:rPr>
                <w:rFonts w:ascii="Times New Roman" w:hAnsi="Times New Roman" w:eastAsia="宋体"/>
                <w:b/>
                <w:sz w:val="19"/>
              </w:rPr>
              <w:t>内容要点</w:t>
            </w:r>
          </w:p>
        </w:tc>
        <w:tc>
          <w:tcPr>
            <w:tcW w:type="dxa" w:w="3097"/>
            <w:shd w:val="clear" w:fill="DEEAF6"/>
          </w:tcPr>
          <w:p>
            <w:r>
              <w:rPr>
                <w:b/>
                <w:sz w:val="19"/>
              </w:rPr>
            </w:r>
            <w:r>
              <w:rPr>
                <w:rFonts w:ascii="Times New Roman" w:hAnsi="Times New Roman" w:eastAsia="宋体"/>
                <w:b/>
                <w:sz w:val="19"/>
              </w:rPr>
              <w:t>用途</w:t>
            </w:r>
          </w:p>
        </w:tc>
      </w:tr>
      <w:tr>
        <w:tc>
          <w:tcPr>
            <w:tcW w:type="dxa" w:w="3097"/>
          </w:tcPr>
          <w:p>
            <w:r>
              <w:rPr>
                <w:sz w:val="19"/>
              </w:rPr>
            </w:r>
            <w:r>
              <w:rPr>
                <w:rFonts w:ascii="Times New Roman" w:hAnsi="Times New Roman" w:eastAsia="宋体"/>
                <w:sz w:val="19"/>
              </w:rPr>
              <w:t>[0023]</w:t>
            </w:r>
          </w:p>
        </w:tc>
        <w:tc>
          <w:tcPr>
            <w:tcW w:type="dxa" w:w="3097"/>
          </w:tcPr>
          <w:p>
            <w:r>
              <w:rPr>
                <w:sz w:val="19"/>
              </w:rPr>
            </w:r>
            <w:r>
              <w:rPr>
                <w:rFonts w:ascii="Times New Roman" w:hAnsi="Times New Roman" w:eastAsia="宋体"/>
                <w:sz w:val="19"/>
              </w:rPr>
              <w:t>系统指令信息用于向模型说明各检索路径基本特性、输出所需遵守的格式与取值范围，以及不同决策维度之间的依赖关系</w:t>
            </w:r>
          </w:p>
        </w:tc>
        <w:tc>
          <w:tcPr>
            <w:tcW w:type="dxa" w:w="3097"/>
          </w:tcPr>
          <w:p>
            <w:r>
              <w:rPr>
                <w:sz w:val="19"/>
              </w:rPr>
            </w:r>
            <w:r>
              <w:rPr>
                <w:rFonts w:ascii="Times New Roman" w:hAnsi="Times New Roman" w:eastAsia="宋体"/>
                <w:sz w:val="19"/>
              </w:rPr>
              <w:t>支撑指令是输入约束而非输出结果；支撑维度之间存在耦合</w:t>
            </w:r>
          </w:p>
        </w:tc>
      </w:tr>
      <w:tr>
        <w:tc>
          <w:tcPr>
            <w:tcW w:type="dxa" w:w="3097"/>
          </w:tcPr>
          <w:p>
            <w:r>
              <w:rPr>
                <w:sz w:val="19"/>
              </w:rPr>
            </w:r>
            <w:r>
              <w:rPr>
                <w:rFonts w:ascii="Times New Roman" w:hAnsi="Times New Roman" w:eastAsia="宋体"/>
                <w:sz w:val="19"/>
              </w:rPr>
              <w:t>[0025]</w:t>
            </w:r>
          </w:p>
        </w:tc>
        <w:tc>
          <w:tcPr>
            <w:tcW w:type="dxa" w:w="3097"/>
          </w:tcPr>
          <w:p>
            <w:r>
              <w:rPr>
                <w:sz w:val="19"/>
              </w:rPr>
            </w:r>
            <w:r>
              <w:rPr>
                <w:rFonts w:ascii="Times New Roman" w:hAnsi="Times New Roman" w:eastAsia="宋体"/>
                <w:sz w:val="19"/>
              </w:rPr>
              <w:t>单次前向传播；各维度在同一推理上下文中相互交叉参考；解决上下文割裂、决策冲突、信息利用不充分；确保语义内在一致</w:t>
            </w:r>
          </w:p>
        </w:tc>
        <w:tc>
          <w:tcPr>
            <w:tcW w:type="dxa" w:w="3097"/>
          </w:tcPr>
          <w:p>
            <w:r>
              <w:rPr>
                <w:sz w:val="19"/>
              </w:rPr>
            </w:r>
            <w:r>
              <w:rPr>
                <w:rFonts w:ascii="Times New Roman" w:hAnsi="Times New Roman" w:eastAsia="宋体"/>
                <w:sz w:val="19"/>
              </w:rPr>
              <w:t>新增权利要求特征的支持依据；技术效果的原始记载</w:t>
            </w:r>
          </w:p>
        </w:tc>
      </w:tr>
      <w:tr>
        <w:tc>
          <w:tcPr>
            <w:tcW w:type="dxa" w:w="3097"/>
          </w:tcPr>
          <w:p>
            <w:r>
              <w:rPr>
                <w:sz w:val="19"/>
              </w:rPr>
            </w:r>
            <w:r>
              <w:rPr>
                <w:rFonts w:ascii="Times New Roman" w:hAnsi="Times New Roman" w:eastAsia="宋体"/>
                <w:sz w:val="19"/>
              </w:rPr>
              <w:t>[0027]</w:t>
            </w:r>
          </w:p>
        </w:tc>
        <w:tc>
          <w:tcPr>
            <w:tcW w:type="dxa" w:w="3097"/>
          </w:tcPr>
          <w:p>
            <w:r>
              <w:rPr>
                <w:sz w:val="19"/>
              </w:rPr>
            </w:r>
            <w:r>
              <w:rPr>
                <w:rFonts w:ascii="Times New Roman" w:hAnsi="Times New Roman" w:eastAsia="宋体"/>
                <w:sz w:val="19"/>
              </w:rPr>
              <w:t>各字段独立检查，不合格字段单独回退，合格字段保留；以最小代价恢复有效决策</w:t>
            </w:r>
          </w:p>
        </w:tc>
        <w:tc>
          <w:tcPr>
            <w:tcW w:type="dxa" w:w="3097"/>
          </w:tcPr>
          <w:p>
            <w:r>
              <w:rPr>
                <w:sz w:val="19"/>
              </w:rPr>
            </w:r>
            <w:r>
              <w:rPr>
                <w:rFonts w:ascii="Times New Roman" w:hAnsi="Times New Roman" w:eastAsia="宋体"/>
                <w:sz w:val="19"/>
              </w:rPr>
              <w:t>支撑逐字段回退与整体重新生成的区别</w:t>
            </w:r>
          </w:p>
        </w:tc>
      </w:tr>
      <w:tr>
        <w:tc>
          <w:tcPr>
            <w:tcW w:type="dxa" w:w="3097"/>
          </w:tcPr>
          <w:p>
            <w:r>
              <w:rPr>
                <w:sz w:val="19"/>
              </w:rPr>
            </w:r>
            <w:r>
              <w:rPr>
                <w:rFonts w:ascii="Times New Roman" w:hAnsi="Times New Roman" w:eastAsia="宋体"/>
                <w:sz w:val="19"/>
              </w:rPr>
              <w:t>[0029]</w:t>
            </w:r>
          </w:p>
        </w:tc>
        <w:tc>
          <w:tcPr>
            <w:tcW w:type="dxa" w:w="3097"/>
          </w:tcPr>
          <w:p>
            <w:r>
              <w:rPr>
                <w:sz w:val="19"/>
              </w:rPr>
            </w:r>
            <w:r>
              <w:rPr>
                <w:rFonts w:ascii="Times New Roman" w:hAnsi="Times New Roman" w:eastAsia="宋体"/>
                <w:sz w:val="19"/>
              </w:rPr>
              <w:t>校验后的决策数据作为可靠检索指令驱动底层多种数据源查询，降低因模型输出异常导致的检索失效风险</w:t>
            </w:r>
          </w:p>
        </w:tc>
        <w:tc>
          <w:tcPr>
            <w:tcW w:type="dxa" w:w="3097"/>
          </w:tcPr>
          <w:p>
            <w:r>
              <w:rPr>
                <w:sz w:val="19"/>
              </w:rPr>
            </w:r>
            <w:r>
              <w:rPr>
                <w:rFonts w:ascii="Times New Roman" w:hAnsi="Times New Roman" w:eastAsia="宋体"/>
                <w:sz w:val="19"/>
              </w:rPr>
              <w:t>支撑校验位于检索之前、目的是保证检索可被正确驱动</w:t>
            </w:r>
          </w:p>
        </w:tc>
      </w:tr>
      <w:tr>
        <w:tc>
          <w:tcPr>
            <w:tcW w:type="dxa" w:w="3097"/>
          </w:tcPr>
          <w:p>
            <w:r>
              <w:rPr>
                <w:sz w:val="19"/>
              </w:rPr>
            </w:r>
            <w:r>
              <w:rPr>
                <w:rFonts w:ascii="Times New Roman" w:hAnsi="Times New Roman" w:eastAsia="宋体"/>
                <w:sz w:val="19"/>
              </w:rPr>
              <w:t>[0038] 至 [0039]</w:t>
            </w:r>
          </w:p>
        </w:tc>
        <w:tc>
          <w:tcPr>
            <w:tcW w:type="dxa" w:w="3097"/>
          </w:tcPr>
          <w:p>
            <w:r>
              <w:rPr>
                <w:sz w:val="19"/>
              </w:rPr>
            </w:r>
            <w:r>
              <w:rPr>
                <w:rFonts w:ascii="Times New Roman" w:hAnsi="Times New Roman" w:eastAsia="宋体"/>
                <w:sz w:val="19"/>
              </w:rPr>
              <w:t>分层兜底：层级一为模型调用失败时的基础默认决策，层级二为模型返回权重集合为空时启用的系统配置默认权重</w:t>
            </w:r>
          </w:p>
        </w:tc>
        <w:tc>
          <w:tcPr>
            <w:tcW w:type="dxa" w:w="3097"/>
          </w:tcPr>
          <w:p>
            <w:r>
              <w:rPr>
                <w:sz w:val="19"/>
              </w:rPr>
            </w:r>
            <w:r>
              <w:rPr>
                <w:rFonts w:ascii="Times New Roman" w:hAnsi="Times New Roman" w:eastAsia="宋体"/>
                <w:sz w:val="19"/>
              </w:rPr>
              <w:t>证明人工预设权重只是异常兜底，模型按查询生成才是主路径</w:t>
            </w:r>
          </w:p>
        </w:tc>
      </w:tr>
      <w:tr>
        <w:tc>
          <w:tcPr>
            <w:tcW w:type="dxa" w:w="3097"/>
          </w:tcPr>
          <w:p>
            <w:r>
              <w:rPr>
                <w:sz w:val="19"/>
              </w:rPr>
            </w:r>
            <w:r>
              <w:rPr>
                <w:rFonts w:ascii="Times New Roman" w:hAnsi="Times New Roman" w:eastAsia="宋体"/>
                <w:sz w:val="19"/>
              </w:rPr>
              <w:t>[0096] 至 [0097]</w:t>
            </w:r>
          </w:p>
        </w:tc>
        <w:tc>
          <w:tcPr>
            <w:tcW w:type="dxa" w:w="3097"/>
          </w:tcPr>
          <w:p>
            <w:r>
              <w:rPr>
                <w:sz w:val="19"/>
              </w:rPr>
            </w:r>
            <w:r>
              <w:rPr>
                <w:rFonts w:ascii="Times New Roman" w:hAnsi="Times New Roman" w:eastAsia="宋体"/>
                <w:sz w:val="19"/>
              </w:rPr>
              <w:t>大语言模型单次推理输出各路径原始权重 W_llm={es:0.3, chunks:0.3, graph:0.2, table:0.2, temporal:0.0}</w:t>
            </w:r>
          </w:p>
        </w:tc>
        <w:tc>
          <w:tcPr>
            <w:tcW w:type="dxa" w:w="3097"/>
          </w:tcPr>
          <w:p>
            <w:r>
              <w:rPr>
                <w:sz w:val="19"/>
              </w:rPr>
            </w:r>
            <w:r>
              <w:rPr>
                <w:rFonts w:ascii="Times New Roman" w:hAnsi="Times New Roman" w:eastAsia="宋体"/>
                <w:sz w:val="19"/>
              </w:rPr>
              <w:t>证明权重由模型按当次查询生成，非固定常数</w:t>
            </w:r>
          </w:p>
        </w:tc>
      </w:tr>
      <w:tr>
        <w:tc>
          <w:tcPr>
            <w:tcW w:type="dxa" w:w="3097"/>
          </w:tcPr>
          <w:p>
            <w:r>
              <w:rPr>
                <w:sz w:val="19"/>
              </w:rPr>
            </w:r>
            <w:r>
              <w:rPr>
                <w:rFonts w:ascii="Times New Roman" w:hAnsi="Times New Roman" w:eastAsia="宋体"/>
                <w:sz w:val="19"/>
              </w:rPr>
              <w:t>[0115]</w:t>
            </w:r>
          </w:p>
        </w:tc>
        <w:tc>
          <w:tcPr>
            <w:tcW w:type="dxa" w:w="3097"/>
          </w:tcPr>
          <w:p>
            <w:r>
              <w:rPr>
                <w:sz w:val="19"/>
              </w:rPr>
            </w:r>
            <w:r>
              <w:rPr>
                <w:rFonts w:ascii="Times New Roman" w:hAnsi="Times New Roman" w:eastAsia="宋体"/>
                <w:sz w:val="19"/>
              </w:rPr>
              <w:t>各路径独立检索并输出带排名的结果列表；说明书全文无"并行"记载</w:t>
            </w:r>
          </w:p>
        </w:tc>
        <w:tc>
          <w:tcPr>
            <w:tcW w:type="dxa" w:w="3097"/>
          </w:tcPr>
          <w:p>
            <w:r>
              <w:rPr>
                <w:sz w:val="19"/>
              </w:rPr>
            </w:r>
            <w:r>
              <w:rPr>
                <w:rFonts w:ascii="Times New Roman" w:hAnsi="Times New Roman" w:eastAsia="宋体"/>
                <w:sz w:val="19"/>
              </w:rPr>
              <w:t>据以删除意见陈述中的"并行驱动"表述</w:t>
            </w:r>
          </w:p>
        </w:tc>
      </w:tr>
    </w:tbl>
    <w:p/>
    <w:p>
      <w:pPr>
        <w:pStyle w:val="Heading1"/>
      </w:pPr>
      <w:r>
        <w:t>附录 B：对比文件 3 可援引段落</w:t>
      </w:r>
    </w:p>
    <w:tbl>
      <w:tblPr>
        <w:tblStyle w:val="TableGrid"/>
        <w:tblW w:type="auto" w:w="0"/>
        <w:jc w:val="center"/>
        <w:tblLook w:firstColumn="1" w:firstRow="1" w:lastColumn="0" w:lastRow="0" w:noHBand="0" w:noVBand="1" w:val="04A0"/>
      </w:tblPr>
      <w:tblGrid>
        <w:gridCol w:w="3097"/>
        <w:gridCol w:w="3097"/>
        <w:gridCol w:w="3097"/>
      </w:tblGrid>
      <w:tr>
        <w:tc>
          <w:tcPr>
            <w:tcW w:type="dxa" w:w="3097"/>
            <w:shd w:val="clear" w:fill="DEEAF6"/>
          </w:tcPr>
          <w:p>
            <w:r>
              <w:rPr>
                <w:b/>
                <w:sz w:val="19"/>
              </w:rPr>
            </w:r>
            <w:r>
              <w:rPr>
                <w:rFonts w:ascii="Times New Roman" w:hAnsi="Times New Roman" w:eastAsia="宋体"/>
                <w:b/>
                <w:sz w:val="19"/>
              </w:rPr>
              <w:t>段号</w:t>
            </w:r>
          </w:p>
        </w:tc>
        <w:tc>
          <w:tcPr>
            <w:tcW w:type="dxa" w:w="3097"/>
            <w:shd w:val="clear" w:fill="DEEAF6"/>
          </w:tcPr>
          <w:p>
            <w:r>
              <w:rPr>
                <w:b/>
                <w:sz w:val="19"/>
              </w:rPr>
            </w:r>
            <w:r>
              <w:rPr>
                <w:rFonts w:ascii="Times New Roman" w:hAnsi="Times New Roman" w:eastAsia="宋体"/>
                <w:b/>
                <w:sz w:val="19"/>
              </w:rPr>
              <w:t>内容要点</w:t>
            </w:r>
          </w:p>
        </w:tc>
        <w:tc>
          <w:tcPr>
            <w:tcW w:type="dxa" w:w="3097"/>
            <w:shd w:val="clear" w:fill="DEEAF6"/>
          </w:tcPr>
          <w:p>
            <w:r>
              <w:rPr>
                <w:b/>
                <w:sz w:val="19"/>
              </w:rPr>
            </w:r>
            <w:r>
              <w:rPr>
                <w:rFonts w:ascii="Times New Roman" w:hAnsi="Times New Roman" w:eastAsia="宋体"/>
                <w:b/>
                <w:sz w:val="19"/>
              </w:rPr>
              <w:t>用途</w:t>
            </w:r>
          </w:p>
        </w:tc>
      </w:tr>
      <w:tr>
        <w:tc>
          <w:tcPr>
            <w:tcW w:type="dxa" w:w="3097"/>
          </w:tcPr>
          <w:p>
            <w:r>
              <w:rPr>
                <w:sz w:val="19"/>
              </w:rPr>
            </w:r>
            <w:r>
              <w:rPr>
                <w:rFonts w:ascii="Times New Roman" w:hAnsi="Times New Roman" w:eastAsia="宋体"/>
                <w:sz w:val="19"/>
              </w:rPr>
              <w:t>[0028] 至 [0033]</w:t>
            </w:r>
          </w:p>
        </w:tc>
        <w:tc>
          <w:tcPr>
            <w:tcW w:type="dxa" w:w="3097"/>
          </w:tcPr>
          <w:p>
            <w:r>
              <w:rPr>
                <w:sz w:val="19"/>
              </w:rPr>
            </w:r>
            <w:r>
              <w:rPr>
                <w:rFonts w:ascii="Times New Roman" w:hAnsi="Times New Roman" w:eastAsia="宋体"/>
                <w:sz w:val="19"/>
              </w:rPr>
              <w:t>BPE 分词器、LLM 编码器加自注意力、BiLSTM-CRF 实体识别子模型、预设标签库匹配四步串联生成初步意图信息</w:t>
            </w:r>
          </w:p>
        </w:tc>
        <w:tc>
          <w:tcPr>
            <w:tcW w:type="dxa" w:w="3097"/>
          </w:tcPr>
          <w:p>
            <w:r>
              <w:rPr>
                <w:sz w:val="19"/>
              </w:rPr>
            </w:r>
            <w:r>
              <w:rPr>
                <w:rFonts w:ascii="Times New Roman" w:hAnsi="Times New Roman" w:eastAsia="宋体"/>
                <w:sz w:val="19"/>
              </w:rPr>
              <w:t>证明并非单次推理联合生成</w:t>
            </w:r>
          </w:p>
        </w:tc>
      </w:tr>
      <w:tr>
        <w:tc>
          <w:tcPr>
            <w:tcW w:type="dxa" w:w="3097"/>
          </w:tcPr>
          <w:p>
            <w:r>
              <w:rPr>
                <w:sz w:val="19"/>
              </w:rPr>
            </w:r>
            <w:r>
              <w:rPr>
                <w:rFonts w:ascii="Times New Roman" w:hAnsi="Times New Roman" w:eastAsia="宋体"/>
                <w:sz w:val="19"/>
              </w:rPr>
              <w:t>[0038]</w:t>
            </w:r>
          </w:p>
        </w:tc>
        <w:tc>
          <w:tcPr>
            <w:tcW w:type="dxa" w:w="3097"/>
          </w:tcPr>
          <w:p>
            <w:r>
              <w:rPr>
                <w:sz w:val="19"/>
              </w:rPr>
            </w:r>
            <w:r>
              <w:rPr>
                <w:rFonts w:ascii="Times New Roman" w:hAnsi="Times New Roman" w:eastAsia="宋体"/>
                <w:sz w:val="19"/>
              </w:rPr>
              <w:t>检索优先级权重可根据需要自行设定，例如 0.8、0.6、0.4</w:t>
            </w:r>
          </w:p>
        </w:tc>
        <w:tc>
          <w:tcPr>
            <w:tcW w:type="dxa" w:w="3097"/>
          </w:tcPr>
          <w:p>
            <w:r>
              <w:rPr>
                <w:sz w:val="19"/>
              </w:rPr>
            </w:r>
            <w:r>
              <w:rPr>
                <w:rFonts w:ascii="Times New Roman" w:hAnsi="Times New Roman" w:eastAsia="宋体"/>
                <w:sz w:val="19"/>
              </w:rPr>
              <w:t>证明其权重为人工预设固定值</w:t>
            </w:r>
          </w:p>
        </w:tc>
      </w:tr>
      <w:tr>
        <w:tc>
          <w:tcPr>
            <w:tcW w:type="dxa" w:w="3097"/>
          </w:tcPr>
          <w:p>
            <w:r>
              <w:rPr>
                <w:sz w:val="19"/>
              </w:rPr>
            </w:r>
            <w:r>
              <w:rPr>
                <w:rFonts w:ascii="Times New Roman" w:hAnsi="Times New Roman" w:eastAsia="宋体"/>
                <w:sz w:val="19"/>
              </w:rPr>
              <w:t>[0040] 至 [0045]</w:t>
            </w:r>
          </w:p>
        </w:tc>
        <w:tc>
          <w:tcPr>
            <w:tcW w:type="dxa" w:w="3097"/>
          </w:tcPr>
          <w:p>
            <w:r>
              <w:rPr>
                <w:sz w:val="19"/>
              </w:rPr>
            </w:r>
            <w:r>
              <w:rPr>
                <w:rFonts w:ascii="Times New Roman" w:hAnsi="Times New Roman" w:eastAsia="宋体"/>
                <w:sz w:val="19"/>
              </w:rPr>
              <w:t>语义独立度与资源充裕度决定并行或串行；融合规则中强关联权重 0.7、弱关联 0.3</w:t>
            </w:r>
          </w:p>
        </w:tc>
        <w:tc>
          <w:tcPr>
            <w:tcW w:type="dxa" w:w="3097"/>
          </w:tcPr>
          <w:p>
            <w:r>
              <w:rPr>
                <w:sz w:val="19"/>
              </w:rPr>
            </w:r>
            <w:r>
              <w:rPr>
                <w:rFonts w:ascii="Times New Roman" w:hAnsi="Times New Roman" w:eastAsia="宋体"/>
                <w:sz w:val="19"/>
              </w:rPr>
              <w:t>证明并行串行判定发生在检索调度环节；权重为固定常数</w:t>
            </w:r>
          </w:p>
        </w:tc>
      </w:tr>
      <w:tr>
        <w:tc>
          <w:tcPr>
            <w:tcW w:type="dxa" w:w="3097"/>
          </w:tcPr>
          <w:p>
            <w:r>
              <w:rPr>
                <w:sz w:val="19"/>
              </w:rPr>
            </w:r>
            <w:r>
              <w:rPr>
                <w:rFonts w:ascii="Times New Roman" w:hAnsi="Times New Roman" w:eastAsia="宋体"/>
                <w:sz w:val="19"/>
              </w:rPr>
              <w:t>[0058] 至 [0060]</w:t>
            </w:r>
          </w:p>
        </w:tc>
        <w:tc>
          <w:tcPr>
            <w:tcW w:type="dxa" w:w="3097"/>
          </w:tcPr>
          <w:p>
            <w:r>
              <w:rPr>
                <w:sz w:val="19"/>
              </w:rPr>
            </w:r>
            <w:r>
              <w:rPr>
                <w:rFonts w:ascii="Times New Roman" w:hAnsi="Times New Roman" w:eastAsia="宋体"/>
                <w:sz w:val="19"/>
              </w:rPr>
              <w:t>多维度上下文信息生成提示词，提示词输入模型生成初始 SQL</w:t>
            </w:r>
          </w:p>
        </w:tc>
        <w:tc>
          <w:tcPr>
            <w:tcW w:type="dxa" w:w="3097"/>
          </w:tcPr>
          <w:p>
            <w:r>
              <w:rPr>
                <w:sz w:val="19"/>
              </w:rPr>
            </w:r>
            <w:r>
              <w:rPr>
                <w:rFonts w:ascii="Times New Roman" w:hAnsi="Times New Roman" w:eastAsia="宋体"/>
                <w:sz w:val="19"/>
              </w:rPr>
              <w:t>证明多维度上下文信息与 SQL 分处不同环节</w:t>
            </w:r>
          </w:p>
        </w:tc>
      </w:tr>
      <w:tr>
        <w:tc>
          <w:tcPr>
            <w:tcW w:type="dxa" w:w="3097"/>
          </w:tcPr>
          <w:p>
            <w:r>
              <w:rPr>
                <w:sz w:val="19"/>
              </w:rPr>
            </w:r>
            <w:r>
              <w:rPr>
                <w:rFonts w:ascii="Times New Roman" w:hAnsi="Times New Roman" w:eastAsia="宋体"/>
                <w:sz w:val="19"/>
              </w:rPr>
              <w:t>[0061]</w:t>
            </w:r>
          </w:p>
        </w:tc>
        <w:tc>
          <w:tcPr>
            <w:tcW w:type="dxa" w:w="3097"/>
          </w:tcPr>
          <w:p>
            <w:r>
              <w:rPr>
                <w:sz w:val="19"/>
              </w:rPr>
            </w:r>
            <w:r>
              <w:rPr>
                <w:rFonts w:ascii="Times New Roman" w:hAnsi="Times New Roman" w:eastAsia="宋体"/>
                <w:sz w:val="19"/>
              </w:rPr>
              <w:t>用 sqlparse 拆解 SQL，做表名校验与字段归属校验</w:t>
            </w:r>
          </w:p>
        </w:tc>
        <w:tc>
          <w:tcPr>
            <w:tcW w:type="dxa" w:w="3097"/>
          </w:tcPr>
          <w:p>
            <w:r>
              <w:rPr>
                <w:sz w:val="19"/>
              </w:rPr>
            </w:r>
            <w:r>
              <w:rPr>
                <w:rFonts w:ascii="Times New Roman" w:hAnsi="Times New Roman" w:eastAsia="宋体"/>
                <w:sz w:val="19"/>
              </w:rPr>
              <w:t>证明校验对象是 SQL 而非路由决策数据</w:t>
            </w:r>
          </w:p>
        </w:tc>
      </w:tr>
      <w:tr>
        <w:tc>
          <w:tcPr>
            <w:tcW w:type="dxa" w:w="3097"/>
          </w:tcPr>
          <w:p>
            <w:r>
              <w:rPr>
                <w:sz w:val="19"/>
              </w:rPr>
            </w:r>
            <w:r>
              <w:rPr>
                <w:rFonts w:ascii="Times New Roman" w:hAnsi="Times New Roman" w:eastAsia="宋体"/>
                <w:sz w:val="19"/>
              </w:rPr>
              <w:t>[0062] 至 [0063]</w:t>
            </w:r>
          </w:p>
        </w:tc>
        <w:tc>
          <w:tcPr>
            <w:tcW w:type="dxa" w:w="3097"/>
          </w:tcPr>
          <w:p>
            <w:r>
              <w:rPr>
                <w:sz w:val="19"/>
              </w:rPr>
            </w:r>
            <w:r>
              <w:rPr>
                <w:rFonts w:ascii="Times New Roman" w:hAnsi="Times New Roman" w:eastAsia="宋体"/>
                <w:sz w:val="19"/>
              </w:rPr>
              <w:t>校验不通过时反馈模型、补充修正指令、重新生成 SQL</w:t>
            </w:r>
          </w:p>
        </w:tc>
        <w:tc>
          <w:tcPr>
            <w:tcW w:type="dxa" w:w="3097"/>
          </w:tcPr>
          <w:p>
            <w:r>
              <w:rPr>
                <w:sz w:val="19"/>
              </w:rPr>
            </w:r>
            <w:r>
              <w:rPr>
                <w:rFonts w:ascii="Times New Roman" w:hAnsi="Times New Roman" w:eastAsia="宋体"/>
                <w:sz w:val="19"/>
              </w:rPr>
              <w:t>证明构成反向教导；证明失败处理方式为整体重新生成</w:t>
            </w:r>
          </w:p>
        </w:tc>
      </w:tr>
    </w:tbl>
    <w:p/>
    <w:p>
      <w:pPr>
        <w:pStyle w:val="Heading1"/>
      </w:pPr>
      <w:r>
        <w:t>附录 C：待办</w:t>
      </w:r>
    </w:p>
    <w:p>
      <w:pPr>
        <w:pStyle w:val="ListNumber"/>
        <w:spacing w:after="60"/>
      </w:pPr>
      <w:r>
        <w:rPr>
          <w:rFonts w:ascii="Times New Roman" w:hAnsi="Times New Roman" w:eastAsia="宋体"/>
        </w:rPr>
        <w:t>由代理师核实《专利审查指南》中关于公知常识举证责任的具体章节号，用于第 3 节。本文档未填写该编号，以免引用错误条款。</w:t>
      </w:r>
    </w:p>
    <w:p>
      <w:pPr>
        <w:pStyle w:val="ListNumber"/>
        <w:spacing w:after="60"/>
      </w:pPr>
      <w:r>
        <w:rPr>
          <w:rFonts w:ascii="Times New Roman" w:hAnsi="Times New Roman" w:eastAsia="宋体"/>
        </w:rPr>
        <w:t>由代理师判断分案申请的可行性与时机（见 5.2）。</w:t>
      </w:r>
    </w:p>
    <w:p>
      <w:pPr>
        <w:pStyle w:val="ListNumber"/>
        <w:spacing w:after="60"/>
      </w:pPr>
      <w:r>
        <w:rPr>
          <w:rFonts w:ascii="Times New Roman" w:hAnsi="Times New Roman" w:eastAsia="宋体"/>
        </w:rPr>
        <w:t>确认本案为电子申请还是纸件申请，据以确定答复期限的准确届满日（见第 0 节）。</w:t>
      </w:r>
    </w:p>
    <w:p>
      <w:pPr>
        <w:ind w:firstLine="420"/>
      </w:pPr>
      <w:r>
        <w:rPr>
          <w:rFonts w:ascii="Times New Roman" w:hAnsi="Times New Roman" w:eastAsia="宋体"/>
        </w:rPr>
        <w:t>原列于本节的"核对说明书是否有并行执行记载"一项已完成核查，结论见 4.6：说明书全文无此记载，相关表述须删除。</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黑体"/>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eastAsia="黑体"/>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黑体"/>
      <w:b/>
      <w:bCs/>
      <w:color w:val="2E5C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