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71F9B0" w14:textId="77777777" w:rsidR="004677F7" w:rsidRPr="00C80924" w:rsidRDefault="004677F7" w:rsidP="004677F7">
      <w:pPr>
        <w:spacing w:after="0" w:line="240" w:lineRule="auto"/>
        <w:jc w:val="both"/>
        <w:rPr>
          <w:rFonts w:ascii="Titillium" w:eastAsia="Calibri" w:hAnsi="Titillium"/>
        </w:rPr>
      </w:pPr>
      <w:bookmarkStart w:id="0" w:name="_Hlk180350480"/>
    </w:p>
    <w:p w14:paraId="6284ACD4" w14:textId="77777777" w:rsidR="004677F7" w:rsidRPr="00C80924" w:rsidRDefault="004677F7" w:rsidP="004677F7">
      <w:pPr>
        <w:spacing w:after="0" w:line="240" w:lineRule="auto"/>
        <w:jc w:val="both"/>
        <w:rPr>
          <w:rFonts w:ascii="Titillium" w:eastAsia="Calibri" w:hAnsi="Titillium"/>
        </w:rPr>
      </w:pPr>
    </w:p>
    <w:p w14:paraId="16E71D55" w14:textId="7740C464" w:rsidR="004677F7" w:rsidRPr="00C80924" w:rsidRDefault="0092263A" w:rsidP="004677F7">
      <w:pPr>
        <w:spacing w:after="0" w:line="240" w:lineRule="auto"/>
        <w:jc w:val="center"/>
        <w:rPr>
          <w:rFonts w:ascii="Titillium" w:eastAsia="Calibri" w:hAnsi="Titillium"/>
        </w:rPr>
      </w:pPr>
      <w:r>
        <w:rPr>
          <w:rFonts w:ascii="Titillium" w:eastAsia="Calibri" w:hAnsi="Titillium"/>
          <w:noProof/>
          <w:lang w:eastAsia="pl-PL"/>
        </w:rPr>
        <w:drawing>
          <wp:inline distT="0" distB="0" distL="0" distR="0" wp14:anchorId="24546F3D" wp14:editId="49A5C343">
            <wp:extent cx="5086350" cy="2463800"/>
            <wp:effectExtent l="0" t="0" r="0" b="0"/>
            <wp:docPr id="1" name="Obraz 1" descr="agh_nzw_s_pl_1w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descr="agh_nzw_s_pl_1w_wbr_rgb_150pp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6350" cy="2463800"/>
                    </a:xfrm>
                    <a:prstGeom prst="rect">
                      <a:avLst/>
                    </a:prstGeom>
                    <a:noFill/>
                    <a:ln>
                      <a:noFill/>
                    </a:ln>
                  </pic:spPr>
                </pic:pic>
              </a:graphicData>
            </a:graphic>
          </wp:inline>
        </w:drawing>
      </w:r>
    </w:p>
    <w:p w14:paraId="3B5CF0F7" w14:textId="77777777" w:rsidR="004677F7" w:rsidRPr="00C80924" w:rsidRDefault="00723559" w:rsidP="004677F7">
      <w:pPr>
        <w:spacing w:before="120" w:after="120" w:line="240" w:lineRule="auto"/>
        <w:jc w:val="center"/>
        <w:rPr>
          <w:rFonts w:ascii="Titillium" w:eastAsia="Calibri" w:hAnsi="Titillium"/>
          <w:b/>
        </w:rPr>
      </w:pPr>
      <w:r>
        <w:rPr>
          <w:rFonts w:ascii="Titillium" w:eastAsia="Calibri" w:hAnsi="Titillium"/>
          <w:b/>
        </w:rPr>
        <w:t>WYDZIAŁ ELEKTROTECHNIKI, AUTOMATYKI, INFORMATYKI I INŻYNIERII BIOMEDYCZNEJ</w:t>
      </w:r>
    </w:p>
    <w:p w14:paraId="7794F836" w14:textId="77777777" w:rsidR="004677F7" w:rsidRPr="00C80924" w:rsidRDefault="004677F7" w:rsidP="004677F7">
      <w:pPr>
        <w:spacing w:after="0" w:line="240" w:lineRule="auto"/>
        <w:rPr>
          <w:rFonts w:ascii="Titillium" w:eastAsia="Calibri" w:hAnsi="Titillium"/>
        </w:rPr>
      </w:pPr>
    </w:p>
    <w:p w14:paraId="29033092" w14:textId="77777777" w:rsidR="004677F7" w:rsidRPr="00C80924" w:rsidRDefault="004677F7" w:rsidP="004677F7">
      <w:pPr>
        <w:spacing w:after="0" w:line="240" w:lineRule="auto"/>
        <w:rPr>
          <w:rFonts w:ascii="Titillium" w:eastAsia="Calibri" w:hAnsi="Titillium"/>
        </w:rPr>
      </w:pPr>
    </w:p>
    <w:p w14:paraId="7A6B1BBD" w14:textId="77777777" w:rsidR="004677F7" w:rsidRPr="00C80924" w:rsidRDefault="00603FD4" w:rsidP="004677F7">
      <w:pPr>
        <w:spacing w:before="120" w:after="0" w:line="240" w:lineRule="auto"/>
        <w:jc w:val="center"/>
        <w:rPr>
          <w:rFonts w:ascii="Titillium" w:eastAsia="Calibri" w:hAnsi="Titillium"/>
          <w:sz w:val="36"/>
        </w:rPr>
      </w:pPr>
      <w:r>
        <w:rPr>
          <w:rFonts w:ascii="Titillium" w:eastAsia="Calibri" w:hAnsi="Titillium"/>
          <w:sz w:val="36"/>
        </w:rPr>
        <w:t xml:space="preserve">Projekt </w:t>
      </w:r>
      <w:r w:rsidR="00A22E62">
        <w:rPr>
          <w:rFonts w:ascii="Titillium" w:eastAsia="Calibri" w:hAnsi="Titillium"/>
          <w:sz w:val="36"/>
        </w:rPr>
        <w:t>dyplomowy</w:t>
      </w:r>
    </w:p>
    <w:p w14:paraId="7A142588" w14:textId="77777777" w:rsidR="004677F7" w:rsidRDefault="004677F7" w:rsidP="004677F7">
      <w:pPr>
        <w:spacing w:before="200" w:after="0" w:line="240" w:lineRule="auto"/>
        <w:jc w:val="center"/>
        <w:rPr>
          <w:rFonts w:ascii="Titillium" w:eastAsia="Calibri" w:hAnsi="Titillium"/>
          <w:b/>
        </w:rPr>
      </w:pPr>
    </w:p>
    <w:p w14:paraId="1A6D7ACB" w14:textId="77777777" w:rsidR="000717BC" w:rsidRPr="00C80924" w:rsidRDefault="000717BC" w:rsidP="004677F7">
      <w:pPr>
        <w:spacing w:before="200" w:after="0" w:line="240" w:lineRule="auto"/>
        <w:jc w:val="center"/>
        <w:rPr>
          <w:rFonts w:ascii="Titillium" w:eastAsia="Calibri" w:hAnsi="Titillium"/>
          <w:b/>
        </w:rPr>
      </w:pPr>
    </w:p>
    <w:p w14:paraId="7718D723" w14:textId="0F024D42" w:rsidR="000717BC" w:rsidRDefault="000717BC" w:rsidP="000717BC">
      <w:pPr>
        <w:spacing w:after="0" w:line="240" w:lineRule="auto"/>
        <w:jc w:val="center"/>
        <w:rPr>
          <w:rFonts w:ascii="Titillium" w:eastAsia="Calibri" w:hAnsi="Titillium"/>
          <w:i/>
          <w:sz w:val="32"/>
          <w:szCs w:val="36"/>
        </w:rPr>
      </w:pPr>
      <w:r w:rsidRPr="000717BC">
        <w:rPr>
          <w:rFonts w:ascii="Titillium" w:eastAsia="Calibri" w:hAnsi="Titillium"/>
          <w:i/>
          <w:sz w:val="32"/>
          <w:szCs w:val="36"/>
        </w:rPr>
        <w:t>Porównanie modeli uczenia maszynowego i matematycznych do prognozowania kursów kryptowalut</w:t>
      </w:r>
    </w:p>
    <w:p w14:paraId="7D937902" w14:textId="77777777" w:rsidR="000717BC" w:rsidRDefault="000717BC" w:rsidP="000717BC">
      <w:pPr>
        <w:spacing w:after="0" w:line="240" w:lineRule="auto"/>
        <w:jc w:val="center"/>
        <w:rPr>
          <w:rFonts w:ascii="Titillium" w:eastAsia="Calibri" w:hAnsi="Titillium"/>
          <w:i/>
          <w:sz w:val="32"/>
          <w:szCs w:val="36"/>
        </w:rPr>
      </w:pPr>
    </w:p>
    <w:p w14:paraId="799661F6" w14:textId="3F340DAD" w:rsidR="004677F7" w:rsidRPr="00C80924" w:rsidRDefault="000717BC" w:rsidP="000717BC">
      <w:pPr>
        <w:spacing w:after="0" w:line="240" w:lineRule="auto"/>
        <w:jc w:val="center"/>
        <w:rPr>
          <w:rFonts w:ascii="Titillium" w:eastAsia="Calibri" w:hAnsi="Titillium"/>
        </w:rPr>
      </w:pPr>
      <w:proofErr w:type="spellStart"/>
      <w:r w:rsidRPr="000717BC">
        <w:rPr>
          <w:rFonts w:ascii="Titillium" w:eastAsia="Calibri" w:hAnsi="Titillium"/>
          <w:i/>
          <w:sz w:val="32"/>
          <w:szCs w:val="36"/>
        </w:rPr>
        <w:t>Comparison</w:t>
      </w:r>
      <w:proofErr w:type="spellEnd"/>
      <w:r w:rsidRPr="000717BC">
        <w:rPr>
          <w:rFonts w:ascii="Titillium" w:eastAsia="Calibri" w:hAnsi="Titillium"/>
          <w:i/>
          <w:sz w:val="32"/>
          <w:szCs w:val="36"/>
        </w:rPr>
        <w:t xml:space="preserve"> of Machine Learning and Mathematical </w:t>
      </w:r>
      <w:proofErr w:type="spellStart"/>
      <w:r w:rsidRPr="000717BC">
        <w:rPr>
          <w:rFonts w:ascii="Titillium" w:eastAsia="Calibri" w:hAnsi="Titillium"/>
          <w:i/>
          <w:sz w:val="32"/>
          <w:szCs w:val="36"/>
        </w:rPr>
        <w:t>Models</w:t>
      </w:r>
      <w:proofErr w:type="spellEnd"/>
      <w:r w:rsidRPr="000717BC">
        <w:rPr>
          <w:rFonts w:ascii="Titillium" w:eastAsia="Calibri" w:hAnsi="Titillium"/>
          <w:i/>
          <w:sz w:val="32"/>
          <w:szCs w:val="36"/>
        </w:rPr>
        <w:t xml:space="preserve"> for </w:t>
      </w:r>
      <w:proofErr w:type="spellStart"/>
      <w:r w:rsidRPr="000717BC">
        <w:rPr>
          <w:rFonts w:ascii="Titillium" w:eastAsia="Calibri" w:hAnsi="Titillium"/>
          <w:i/>
          <w:sz w:val="32"/>
          <w:szCs w:val="36"/>
        </w:rPr>
        <w:t>Cryptocurrency</w:t>
      </w:r>
      <w:proofErr w:type="spellEnd"/>
      <w:r w:rsidRPr="000717BC">
        <w:rPr>
          <w:rFonts w:ascii="Titillium" w:eastAsia="Calibri" w:hAnsi="Titillium"/>
          <w:i/>
          <w:sz w:val="32"/>
          <w:szCs w:val="36"/>
        </w:rPr>
        <w:t xml:space="preserve"> </w:t>
      </w:r>
      <w:proofErr w:type="spellStart"/>
      <w:r w:rsidRPr="000717BC">
        <w:rPr>
          <w:rFonts w:ascii="Titillium" w:eastAsia="Calibri" w:hAnsi="Titillium"/>
          <w:i/>
          <w:sz w:val="32"/>
          <w:szCs w:val="36"/>
        </w:rPr>
        <w:t>Price</w:t>
      </w:r>
      <w:proofErr w:type="spellEnd"/>
      <w:r w:rsidRPr="000717BC">
        <w:rPr>
          <w:rFonts w:ascii="Titillium" w:eastAsia="Calibri" w:hAnsi="Titillium"/>
          <w:i/>
          <w:sz w:val="32"/>
          <w:szCs w:val="36"/>
        </w:rPr>
        <w:t xml:space="preserve"> </w:t>
      </w:r>
      <w:proofErr w:type="spellStart"/>
      <w:r w:rsidRPr="000717BC">
        <w:rPr>
          <w:rFonts w:ascii="Titillium" w:eastAsia="Calibri" w:hAnsi="Titillium"/>
          <w:i/>
          <w:sz w:val="32"/>
          <w:szCs w:val="36"/>
        </w:rPr>
        <w:t>Forecasting</w:t>
      </w:r>
      <w:proofErr w:type="spellEnd"/>
    </w:p>
    <w:p w14:paraId="1939231D" w14:textId="77777777" w:rsidR="004677F7" w:rsidRPr="00C80924" w:rsidRDefault="004677F7" w:rsidP="004677F7">
      <w:pPr>
        <w:spacing w:after="0" w:line="240" w:lineRule="auto"/>
        <w:rPr>
          <w:rFonts w:ascii="Titillium" w:eastAsia="Calibri" w:hAnsi="Titillium"/>
        </w:rPr>
      </w:pPr>
    </w:p>
    <w:p w14:paraId="4004D60B" w14:textId="77777777" w:rsidR="004677F7" w:rsidRPr="00C80924" w:rsidRDefault="004677F7" w:rsidP="004677F7">
      <w:pPr>
        <w:spacing w:after="0" w:line="240" w:lineRule="auto"/>
        <w:rPr>
          <w:rFonts w:ascii="Titillium" w:eastAsia="Calibri" w:hAnsi="Titillium"/>
        </w:rPr>
      </w:pPr>
    </w:p>
    <w:p w14:paraId="14943AEA" w14:textId="77777777" w:rsidR="004677F7" w:rsidRPr="00C80924" w:rsidRDefault="004677F7" w:rsidP="004677F7">
      <w:pPr>
        <w:spacing w:after="0" w:line="240" w:lineRule="auto"/>
        <w:rPr>
          <w:rFonts w:ascii="Titillium" w:eastAsia="Calibri" w:hAnsi="Titillium"/>
        </w:rPr>
      </w:pPr>
    </w:p>
    <w:p w14:paraId="15A4F176" w14:textId="77777777" w:rsidR="004677F7" w:rsidRPr="00C80924" w:rsidRDefault="004677F7" w:rsidP="004677F7">
      <w:pPr>
        <w:spacing w:after="0" w:line="240" w:lineRule="auto"/>
        <w:rPr>
          <w:rFonts w:ascii="Titillium" w:eastAsia="Calibri" w:hAnsi="Titillium"/>
        </w:rPr>
      </w:pPr>
    </w:p>
    <w:p w14:paraId="73CFF629" w14:textId="77777777" w:rsidR="004677F7" w:rsidRPr="00C80924" w:rsidRDefault="004677F7" w:rsidP="004677F7">
      <w:pPr>
        <w:spacing w:after="0" w:line="240" w:lineRule="auto"/>
        <w:rPr>
          <w:rFonts w:ascii="Titillium" w:eastAsia="Calibri" w:hAnsi="Titillium"/>
        </w:rPr>
      </w:pPr>
    </w:p>
    <w:p w14:paraId="0C2368E0" w14:textId="77777777" w:rsidR="004677F7" w:rsidRPr="00C80924" w:rsidRDefault="004677F7" w:rsidP="004677F7">
      <w:pPr>
        <w:spacing w:after="0" w:line="240" w:lineRule="auto"/>
        <w:rPr>
          <w:rFonts w:ascii="Titillium" w:eastAsia="Calibri" w:hAnsi="Titillium"/>
        </w:rPr>
      </w:pPr>
    </w:p>
    <w:p w14:paraId="457B1518" w14:textId="77777777" w:rsidR="004677F7" w:rsidRDefault="004677F7" w:rsidP="004677F7">
      <w:pPr>
        <w:spacing w:after="0" w:line="240" w:lineRule="auto"/>
        <w:rPr>
          <w:rFonts w:ascii="Titillium" w:eastAsia="Calibri" w:hAnsi="Titillium"/>
        </w:rPr>
      </w:pPr>
    </w:p>
    <w:p w14:paraId="3BEE7D9B" w14:textId="77777777" w:rsidR="000717BC" w:rsidRDefault="000717BC" w:rsidP="004677F7">
      <w:pPr>
        <w:spacing w:after="0" w:line="240" w:lineRule="auto"/>
        <w:rPr>
          <w:rFonts w:ascii="Titillium" w:eastAsia="Calibri" w:hAnsi="Titillium"/>
        </w:rPr>
      </w:pPr>
    </w:p>
    <w:p w14:paraId="34B7B799" w14:textId="77777777" w:rsidR="000717BC" w:rsidRDefault="000717BC" w:rsidP="004677F7">
      <w:pPr>
        <w:spacing w:after="0" w:line="240" w:lineRule="auto"/>
        <w:rPr>
          <w:rFonts w:ascii="Titillium" w:eastAsia="Calibri" w:hAnsi="Titillium"/>
        </w:rPr>
      </w:pPr>
    </w:p>
    <w:p w14:paraId="454A8AA2" w14:textId="275825A0" w:rsidR="000717BC" w:rsidRDefault="000717BC" w:rsidP="004677F7">
      <w:pPr>
        <w:spacing w:after="0" w:line="240" w:lineRule="auto"/>
        <w:rPr>
          <w:rFonts w:ascii="Titillium" w:eastAsia="Calibri" w:hAnsi="Titillium"/>
        </w:rPr>
      </w:pPr>
    </w:p>
    <w:p w14:paraId="41D4BE6C" w14:textId="77777777" w:rsidR="000717BC" w:rsidRDefault="000717BC" w:rsidP="004677F7">
      <w:pPr>
        <w:spacing w:after="0" w:line="240" w:lineRule="auto"/>
        <w:rPr>
          <w:rFonts w:ascii="Titillium" w:eastAsia="Calibri" w:hAnsi="Titillium"/>
        </w:rPr>
      </w:pPr>
    </w:p>
    <w:p w14:paraId="5D177CEC" w14:textId="77777777" w:rsidR="000717BC" w:rsidRPr="00C80924" w:rsidRDefault="000717BC" w:rsidP="004677F7">
      <w:pPr>
        <w:spacing w:after="0" w:line="240" w:lineRule="auto"/>
        <w:rPr>
          <w:rFonts w:ascii="Titillium" w:eastAsia="Calibri" w:hAnsi="Titillium"/>
        </w:rPr>
      </w:pPr>
    </w:p>
    <w:p w14:paraId="1DE50AA5" w14:textId="7A3DDA69" w:rsidR="004677F7" w:rsidRPr="00C80924" w:rsidRDefault="004677F7" w:rsidP="00B7303D">
      <w:pPr>
        <w:tabs>
          <w:tab w:val="left" w:pos="2835"/>
        </w:tabs>
        <w:spacing w:after="0" w:line="240" w:lineRule="auto"/>
        <w:rPr>
          <w:rFonts w:ascii="Titillium" w:eastAsia="Calibri" w:hAnsi="Titillium"/>
          <w:b/>
          <w:i/>
        </w:rPr>
      </w:pPr>
      <w:r w:rsidRPr="00C80924">
        <w:rPr>
          <w:rFonts w:ascii="Titillium" w:eastAsia="Calibri" w:hAnsi="Titillium"/>
        </w:rPr>
        <w:t>Autor:</w:t>
      </w:r>
      <w:r w:rsidRPr="00C80924">
        <w:rPr>
          <w:rFonts w:ascii="Titillium" w:eastAsia="Calibri" w:hAnsi="Titillium"/>
        </w:rPr>
        <w:tab/>
      </w:r>
      <w:r w:rsidR="000717BC" w:rsidRPr="000717BC">
        <w:rPr>
          <w:rFonts w:ascii="Titillium" w:eastAsia="Calibri" w:hAnsi="Titillium"/>
          <w:iCs/>
        </w:rPr>
        <w:t>Michał Cynarski</w:t>
      </w:r>
    </w:p>
    <w:p w14:paraId="76D61602" w14:textId="36CB0A62" w:rsidR="004677F7" w:rsidRPr="00C80924" w:rsidRDefault="00B7303D" w:rsidP="00B7303D">
      <w:pPr>
        <w:tabs>
          <w:tab w:val="left" w:pos="2835"/>
        </w:tabs>
        <w:spacing w:after="0" w:line="240" w:lineRule="auto"/>
        <w:rPr>
          <w:rFonts w:ascii="Titillium" w:eastAsia="Calibri" w:hAnsi="Titillium"/>
        </w:rPr>
      </w:pPr>
      <w:r w:rsidRPr="00C80924">
        <w:rPr>
          <w:rFonts w:ascii="Titillium" w:eastAsia="Calibri" w:hAnsi="Titillium"/>
        </w:rPr>
        <w:t>Kierunek studiów:</w:t>
      </w:r>
      <w:r w:rsidRPr="00C80924">
        <w:rPr>
          <w:rFonts w:ascii="Titillium" w:eastAsia="Calibri" w:hAnsi="Titillium"/>
        </w:rPr>
        <w:tab/>
      </w:r>
      <w:r w:rsidR="000717BC">
        <w:rPr>
          <w:rFonts w:ascii="Titillium" w:eastAsia="Calibri" w:hAnsi="Titillium"/>
        </w:rPr>
        <w:t>Automatyka i Robotyka</w:t>
      </w:r>
      <w:r w:rsidR="004677F7" w:rsidRPr="00C80924">
        <w:rPr>
          <w:rFonts w:ascii="Titillium" w:eastAsia="Calibri" w:hAnsi="Titillium"/>
        </w:rPr>
        <w:t xml:space="preserve"> </w:t>
      </w:r>
    </w:p>
    <w:p w14:paraId="2D520D6A" w14:textId="620C3BEA" w:rsidR="004677F7" w:rsidRPr="00C80924" w:rsidRDefault="00B7303D" w:rsidP="000717BC">
      <w:pPr>
        <w:tabs>
          <w:tab w:val="left" w:pos="2835"/>
        </w:tabs>
        <w:spacing w:after="0" w:line="240" w:lineRule="auto"/>
        <w:rPr>
          <w:rFonts w:ascii="Titillium" w:eastAsia="Calibri" w:hAnsi="Titillium"/>
        </w:rPr>
      </w:pPr>
      <w:r w:rsidRPr="00C80924">
        <w:rPr>
          <w:rFonts w:ascii="Titillium" w:eastAsia="Calibri" w:hAnsi="Titillium"/>
        </w:rPr>
        <w:t>Opiekun pracy:</w:t>
      </w:r>
      <w:r w:rsidRPr="00C80924">
        <w:rPr>
          <w:rFonts w:ascii="Titillium" w:eastAsia="Calibri" w:hAnsi="Titillium"/>
        </w:rPr>
        <w:tab/>
      </w:r>
      <w:r w:rsidR="000717BC" w:rsidRPr="000717BC">
        <w:rPr>
          <w:rFonts w:ascii="Titillium" w:eastAsia="Calibri" w:hAnsi="Titillium"/>
          <w:iCs/>
        </w:rPr>
        <w:t>dr inż. Waldemar Bauer</w:t>
      </w:r>
    </w:p>
    <w:p w14:paraId="3FD97246" w14:textId="77777777" w:rsidR="004677F7" w:rsidRDefault="004677F7" w:rsidP="004677F7">
      <w:pPr>
        <w:spacing w:after="0" w:line="240" w:lineRule="auto"/>
        <w:rPr>
          <w:rFonts w:ascii="Titillium" w:eastAsia="Calibri" w:hAnsi="Titillium"/>
        </w:rPr>
      </w:pPr>
    </w:p>
    <w:p w14:paraId="3BA63311" w14:textId="77777777" w:rsidR="0096181E" w:rsidRPr="00C80924" w:rsidRDefault="0096181E" w:rsidP="004677F7">
      <w:pPr>
        <w:spacing w:after="0" w:line="240" w:lineRule="auto"/>
        <w:rPr>
          <w:rFonts w:ascii="Titillium" w:eastAsia="Calibri" w:hAnsi="Titillium"/>
        </w:rPr>
      </w:pPr>
    </w:p>
    <w:p w14:paraId="1401CE4F" w14:textId="50951609" w:rsidR="004677F7" w:rsidRDefault="004677F7" w:rsidP="00963D49">
      <w:pPr>
        <w:spacing w:after="0" w:line="240" w:lineRule="auto"/>
        <w:jc w:val="center"/>
        <w:rPr>
          <w:rFonts w:ascii="Titillium" w:eastAsia="Calibri" w:hAnsi="Titillium"/>
          <w:iCs/>
        </w:rPr>
      </w:pPr>
      <w:r w:rsidRPr="00C80924">
        <w:rPr>
          <w:rFonts w:ascii="Titillium" w:eastAsia="Calibri" w:hAnsi="Titillium"/>
        </w:rPr>
        <w:t xml:space="preserve">Kraków, </w:t>
      </w:r>
      <w:r w:rsidR="000717BC" w:rsidRPr="000717BC">
        <w:rPr>
          <w:rFonts w:ascii="Titillium" w:eastAsia="Calibri" w:hAnsi="Titillium"/>
          <w:iCs/>
        </w:rPr>
        <w:t>2024</w:t>
      </w:r>
    </w:p>
    <w:p w14:paraId="7E70CBAC" w14:textId="6C2205C1" w:rsidR="000717BC" w:rsidRDefault="002F406B" w:rsidP="000717BC">
      <w:pPr>
        <w:spacing w:after="0" w:line="240" w:lineRule="auto"/>
        <w:rPr>
          <w:rFonts w:ascii="Titillium" w:eastAsia="Calibri" w:hAnsi="Titillium"/>
          <w:iCs/>
        </w:rPr>
      </w:pPr>
      <w:r>
        <w:rPr>
          <w:rFonts w:ascii="Titillium" w:eastAsia="Calibri" w:hAnsi="Titillium"/>
          <w:iCs/>
        </w:rPr>
        <w:t>Spis treści</w:t>
      </w:r>
    </w:p>
    <w:p w14:paraId="71B9FE7C" w14:textId="77777777" w:rsidR="002F406B" w:rsidRDefault="002F406B" w:rsidP="000717BC">
      <w:pPr>
        <w:spacing w:after="0" w:line="240" w:lineRule="auto"/>
        <w:rPr>
          <w:rFonts w:ascii="Titillium" w:eastAsia="Calibri" w:hAnsi="Titillium"/>
          <w:iCs/>
        </w:rPr>
      </w:pPr>
    </w:p>
    <w:p w14:paraId="7B73EF96" w14:textId="5B923675" w:rsidR="002F406B" w:rsidRDefault="002F406B" w:rsidP="000717BC">
      <w:pPr>
        <w:spacing w:after="0" w:line="240" w:lineRule="auto"/>
        <w:rPr>
          <w:rFonts w:ascii="Titillium" w:eastAsia="Calibri" w:hAnsi="Titillium"/>
          <w:iCs/>
        </w:rPr>
      </w:pPr>
      <w:r>
        <w:rPr>
          <w:rFonts w:ascii="Titillium" w:eastAsia="Calibri" w:hAnsi="Titillium"/>
          <w:iCs/>
        </w:rPr>
        <w:t>- Wstęp</w:t>
      </w:r>
    </w:p>
    <w:p w14:paraId="6418CF1F" w14:textId="29DF43DD" w:rsidR="002F406B" w:rsidRDefault="002F406B" w:rsidP="000717BC">
      <w:pPr>
        <w:spacing w:after="0" w:line="240" w:lineRule="auto"/>
        <w:rPr>
          <w:rFonts w:ascii="Titillium" w:eastAsia="Calibri" w:hAnsi="Titillium"/>
          <w:iCs/>
        </w:rPr>
      </w:pPr>
      <w:r>
        <w:rPr>
          <w:rFonts w:ascii="Titillium" w:eastAsia="Calibri" w:hAnsi="Titillium"/>
          <w:iCs/>
        </w:rPr>
        <w:t xml:space="preserve">- </w:t>
      </w:r>
      <w:r w:rsidR="00462250">
        <w:rPr>
          <w:rFonts w:ascii="Titillium" w:eastAsia="Calibri" w:hAnsi="Titillium"/>
          <w:iCs/>
        </w:rPr>
        <w:t>Sieć neuronowa</w:t>
      </w:r>
    </w:p>
    <w:p w14:paraId="7B637DD1" w14:textId="63277AF0" w:rsidR="00462250" w:rsidRDefault="00462250" w:rsidP="000717BC">
      <w:pPr>
        <w:spacing w:after="0" w:line="240" w:lineRule="auto"/>
        <w:rPr>
          <w:rFonts w:ascii="Titillium" w:eastAsia="Calibri" w:hAnsi="Titillium"/>
          <w:iCs/>
        </w:rPr>
      </w:pPr>
      <w:r>
        <w:rPr>
          <w:rFonts w:ascii="Titillium" w:eastAsia="Calibri" w:hAnsi="Titillium"/>
          <w:iCs/>
        </w:rPr>
        <w:t xml:space="preserve">- Model matematyczny </w:t>
      </w:r>
    </w:p>
    <w:p w14:paraId="401A12A1" w14:textId="232F6BE9" w:rsidR="00462250" w:rsidRDefault="00462250" w:rsidP="000717BC">
      <w:pPr>
        <w:spacing w:after="0" w:line="240" w:lineRule="auto"/>
        <w:rPr>
          <w:rFonts w:ascii="Titillium" w:eastAsia="Calibri" w:hAnsi="Titillium"/>
          <w:iCs/>
        </w:rPr>
      </w:pPr>
      <w:r>
        <w:rPr>
          <w:rFonts w:ascii="Titillium" w:eastAsia="Calibri" w:hAnsi="Titillium"/>
          <w:iCs/>
        </w:rPr>
        <w:t>- Porównanie</w:t>
      </w:r>
    </w:p>
    <w:p w14:paraId="061FA803" w14:textId="76AAEAE9" w:rsidR="00462250" w:rsidRDefault="00462250" w:rsidP="000717BC">
      <w:pPr>
        <w:spacing w:after="0" w:line="240" w:lineRule="auto"/>
        <w:rPr>
          <w:rFonts w:ascii="Titillium" w:eastAsia="Calibri" w:hAnsi="Titillium"/>
          <w:iCs/>
        </w:rPr>
      </w:pPr>
      <w:r>
        <w:rPr>
          <w:rFonts w:ascii="Titillium" w:eastAsia="Calibri" w:hAnsi="Titillium"/>
          <w:iCs/>
        </w:rPr>
        <w:t>- Podsumowanie</w:t>
      </w:r>
    </w:p>
    <w:p w14:paraId="07E904FB" w14:textId="77777777" w:rsidR="002F406B" w:rsidRDefault="002F406B" w:rsidP="000717BC">
      <w:pPr>
        <w:spacing w:after="0" w:line="240" w:lineRule="auto"/>
        <w:rPr>
          <w:rFonts w:ascii="Titillium" w:eastAsia="Calibri" w:hAnsi="Titillium"/>
          <w:iCs/>
        </w:rPr>
      </w:pPr>
    </w:p>
    <w:p w14:paraId="30BC1BF8" w14:textId="77777777" w:rsidR="002F406B" w:rsidRDefault="002F406B" w:rsidP="000717BC">
      <w:pPr>
        <w:spacing w:after="0" w:line="240" w:lineRule="auto"/>
        <w:rPr>
          <w:rFonts w:ascii="Titillium" w:eastAsia="Calibri" w:hAnsi="Titillium"/>
          <w:iCs/>
        </w:rPr>
      </w:pPr>
    </w:p>
    <w:p w14:paraId="30629886" w14:textId="77777777" w:rsidR="002F406B" w:rsidRDefault="002F406B" w:rsidP="000717BC">
      <w:pPr>
        <w:spacing w:after="0" w:line="240" w:lineRule="auto"/>
        <w:rPr>
          <w:rFonts w:ascii="Titillium" w:eastAsia="Calibri" w:hAnsi="Titillium"/>
          <w:iCs/>
        </w:rPr>
      </w:pPr>
    </w:p>
    <w:p w14:paraId="08ECEF6A" w14:textId="77777777" w:rsidR="002F406B" w:rsidRDefault="002F406B" w:rsidP="000717BC">
      <w:pPr>
        <w:spacing w:after="0" w:line="240" w:lineRule="auto"/>
        <w:rPr>
          <w:rFonts w:ascii="Titillium" w:eastAsia="Calibri" w:hAnsi="Titillium"/>
          <w:iCs/>
        </w:rPr>
      </w:pPr>
    </w:p>
    <w:p w14:paraId="732771F7" w14:textId="74A4564A" w:rsidR="002F406B" w:rsidRDefault="002F406B" w:rsidP="000717BC">
      <w:pPr>
        <w:spacing w:after="0" w:line="240" w:lineRule="auto"/>
        <w:rPr>
          <w:rFonts w:ascii="Titillium" w:eastAsia="Calibri" w:hAnsi="Titillium"/>
          <w:iCs/>
        </w:rPr>
      </w:pPr>
      <w:r>
        <w:rPr>
          <w:rFonts w:ascii="Titillium" w:eastAsia="Calibri" w:hAnsi="Titillium"/>
          <w:iCs/>
        </w:rPr>
        <w:t>WSTĘP</w:t>
      </w:r>
    </w:p>
    <w:p w14:paraId="18588366" w14:textId="77777777" w:rsidR="002F406B" w:rsidRDefault="002F406B" w:rsidP="000717BC">
      <w:pPr>
        <w:spacing w:after="0" w:line="240" w:lineRule="auto"/>
        <w:rPr>
          <w:rFonts w:ascii="Titillium" w:eastAsia="Calibri" w:hAnsi="Titillium"/>
          <w:iCs/>
        </w:rPr>
      </w:pPr>
    </w:p>
    <w:p w14:paraId="4F20379F" w14:textId="54237CB7" w:rsidR="002F406B" w:rsidRDefault="002F406B" w:rsidP="000717BC">
      <w:pPr>
        <w:spacing w:after="0" w:line="240" w:lineRule="auto"/>
        <w:rPr>
          <w:rFonts w:ascii="Titillium" w:eastAsia="Calibri" w:hAnsi="Titillium"/>
          <w:iCs/>
        </w:rPr>
      </w:pPr>
      <w:r>
        <w:rPr>
          <w:rFonts w:ascii="Titillium" w:eastAsia="Calibri" w:hAnsi="Titillium"/>
          <w:iCs/>
        </w:rPr>
        <w:t xml:space="preserve">- ogólny opis </w:t>
      </w:r>
    </w:p>
    <w:p w14:paraId="4C73B7F7" w14:textId="3AE239C2" w:rsidR="002F406B" w:rsidRDefault="002F406B" w:rsidP="000717BC">
      <w:pPr>
        <w:spacing w:after="0" w:line="240" w:lineRule="auto"/>
        <w:rPr>
          <w:rFonts w:ascii="Titillium" w:eastAsia="Calibri" w:hAnsi="Titillium"/>
          <w:iCs/>
        </w:rPr>
      </w:pPr>
      <w:r>
        <w:rPr>
          <w:rFonts w:ascii="Titillium" w:eastAsia="Calibri" w:hAnsi="Titillium"/>
          <w:iCs/>
        </w:rPr>
        <w:t>- kontekst celu</w:t>
      </w:r>
    </w:p>
    <w:p w14:paraId="7782C3F1" w14:textId="718ABDEE" w:rsidR="002F406B" w:rsidRDefault="002F406B" w:rsidP="000717BC">
      <w:pPr>
        <w:spacing w:after="0" w:line="240" w:lineRule="auto"/>
        <w:rPr>
          <w:rFonts w:ascii="Titillium" w:eastAsia="Calibri" w:hAnsi="Titillium"/>
          <w:iCs/>
        </w:rPr>
      </w:pPr>
      <w:r>
        <w:rPr>
          <w:rFonts w:ascii="Titillium" w:eastAsia="Calibri" w:hAnsi="Titillium"/>
          <w:iCs/>
        </w:rPr>
        <w:t>- cel</w:t>
      </w:r>
    </w:p>
    <w:bookmarkEnd w:id="0"/>
    <w:p w14:paraId="4C36CA8A" w14:textId="77777777" w:rsidR="002F406B" w:rsidRDefault="002F406B" w:rsidP="000717BC">
      <w:pPr>
        <w:spacing w:after="0" w:line="240" w:lineRule="auto"/>
        <w:rPr>
          <w:rFonts w:ascii="Titillium" w:eastAsia="Calibri" w:hAnsi="Titillium"/>
          <w:iCs/>
        </w:rPr>
      </w:pPr>
    </w:p>
    <w:p w14:paraId="7314AA28" w14:textId="77777777" w:rsidR="002F406B" w:rsidRDefault="002F406B" w:rsidP="000717BC">
      <w:pPr>
        <w:spacing w:after="0" w:line="240" w:lineRule="auto"/>
        <w:rPr>
          <w:rFonts w:ascii="Titillium" w:eastAsia="Calibri" w:hAnsi="Titillium"/>
          <w:iCs/>
        </w:rPr>
      </w:pPr>
    </w:p>
    <w:p w14:paraId="3F026BB5" w14:textId="77777777" w:rsidR="00F34791" w:rsidRDefault="00F34791" w:rsidP="000717BC">
      <w:pPr>
        <w:spacing w:after="0" w:line="240" w:lineRule="auto"/>
        <w:rPr>
          <w:rFonts w:ascii="Titillium" w:eastAsia="Calibri" w:hAnsi="Titillium"/>
          <w:iCs/>
        </w:rPr>
      </w:pPr>
    </w:p>
    <w:p w14:paraId="054E604F" w14:textId="77777777" w:rsidR="00462250" w:rsidRDefault="00462250" w:rsidP="000717BC">
      <w:pPr>
        <w:spacing w:after="0" w:line="240" w:lineRule="auto"/>
        <w:rPr>
          <w:rFonts w:ascii="Titillium" w:eastAsia="Calibri" w:hAnsi="Titillium"/>
          <w:iCs/>
        </w:rPr>
      </w:pPr>
    </w:p>
    <w:p w14:paraId="4072A00B" w14:textId="77777777" w:rsidR="00462250" w:rsidRDefault="00462250" w:rsidP="000717BC">
      <w:pPr>
        <w:spacing w:after="0" w:line="240" w:lineRule="auto"/>
        <w:rPr>
          <w:rFonts w:ascii="Titillium" w:eastAsia="Calibri" w:hAnsi="Titillium"/>
          <w:iCs/>
        </w:rPr>
      </w:pPr>
    </w:p>
    <w:p w14:paraId="30BE02AA" w14:textId="77777777" w:rsidR="00462250" w:rsidRDefault="00462250" w:rsidP="000717BC">
      <w:pPr>
        <w:spacing w:after="0" w:line="240" w:lineRule="auto"/>
        <w:rPr>
          <w:rFonts w:ascii="Titillium" w:eastAsia="Calibri" w:hAnsi="Titillium"/>
          <w:iCs/>
        </w:rPr>
      </w:pPr>
    </w:p>
    <w:p w14:paraId="3250A0A9" w14:textId="77777777" w:rsidR="00462250" w:rsidRDefault="00462250" w:rsidP="000717BC">
      <w:pPr>
        <w:spacing w:after="0" w:line="240" w:lineRule="auto"/>
        <w:rPr>
          <w:rFonts w:ascii="Titillium" w:eastAsia="Calibri" w:hAnsi="Titillium"/>
          <w:iCs/>
        </w:rPr>
      </w:pPr>
    </w:p>
    <w:p w14:paraId="09E4AA6A" w14:textId="77777777" w:rsidR="00462250" w:rsidRDefault="00462250" w:rsidP="000717BC">
      <w:pPr>
        <w:spacing w:after="0" w:line="240" w:lineRule="auto"/>
        <w:rPr>
          <w:rFonts w:ascii="Titillium" w:eastAsia="Calibri" w:hAnsi="Titillium"/>
          <w:iCs/>
        </w:rPr>
      </w:pPr>
    </w:p>
    <w:p w14:paraId="1C70EABC" w14:textId="77777777" w:rsidR="00462250" w:rsidRDefault="00462250" w:rsidP="000717BC">
      <w:pPr>
        <w:spacing w:after="0" w:line="240" w:lineRule="auto"/>
        <w:rPr>
          <w:rFonts w:ascii="Titillium" w:eastAsia="Calibri" w:hAnsi="Titillium"/>
          <w:iCs/>
        </w:rPr>
      </w:pPr>
    </w:p>
    <w:p w14:paraId="519599F4" w14:textId="77777777" w:rsidR="00462250" w:rsidRDefault="00462250" w:rsidP="000717BC">
      <w:pPr>
        <w:spacing w:after="0" w:line="240" w:lineRule="auto"/>
        <w:rPr>
          <w:rFonts w:ascii="Titillium" w:eastAsia="Calibri" w:hAnsi="Titillium"/>
          <w:iCs/>
        </w:rPr>
      </w:pPr>
    </w:p>
    <w:p w14:paraId="7BD0E57A" w14:textId="77777777" w:rsidR="00462250" w:rsidRDefault="00462250" w:rsidP="000717BC">
      <w:pPr>
        <w:spacing w:after="0" w:line="240" w:lineRule="auto"/>
        <w:rPr>
          <w:rFonts w:ascii="Titillium" w:eastAsia="Calibri" w:hAnsi="Titillium"/>
          <w:iCs/>
        </w:rPr>
      </w:pPr>
    </w:p>
    <w:p w14:paraId="66458FC9" w14:textId="77777777" w:rsidR="00462250" w:rsidRDefault="00462250" w:rsidP="000717BC">
      <w:pPr>
        <w:spacing w:after="0" w:line="240" w:lineRule="auto"/>
        <w:rPr>
          <w:rFonts w:ascii="Titillium" w:eastAsia="Calibri" w:hAnsi="Titillium"/>
          <w:iCs/>
        </w:rPr>
      </w:pPr>
    </w:p>
    <w:p w14:paraId="35ACE75C" w14:textId="77777777" w:rsidR="00462250" w:rsidRDefault="00462250" w:rsidP="000717BC">
      <w:pPr>
        <w:spacing w:after="0" w:line="240" w:lineRule="auto"/>
        <w:rPr>
          <w:rFonts w:ascii="Titillium" w:eastAsia="Calibri" w:hAnsi="Titillium"/>
          <w:iCs/>
        </w:rPr>
      </w:pPr>
    </w:p>
    <w:p w14:paraId="08B33B03" w14:textId="77777777" w:rsidR="00462250" w:rsidRDefault="00462250" w:rsidP="000717BC">
      <w:pPr>
        <w:spacing w:after="0" w:line="240" w:lineRule="auto"/>
        <w:rPr>
          <w:rFonts w:ascii="Titillium" w:eastAsia="Calibri" w:hAnsi="Titillium"/>
          <w:iCs/>
        </w:rPr>
      </w:pPr>
    </w:p>
    <w:p w14:paraId="0F120AA3" w14:textId="77777777" w:rsidR="00462250" w:rsidRDefault="00462250" w:rsidP="000717BC">
      <w:pPr>
        <w:spacing w:after="0" w:line="240" w:lineRule="auto"/>
        <w:rPr>
          <w:rFonts w:ascii="Titillium" w:eastAsia="Calibri" w:hAnsi="Titillium"/>
          <w:iCs/>
        </w:rPr>
      </w:pPr>
    </w:p>
    <w:p w14:paraId="156603B1" w14:textId="77777777" w:rsidR="00462250" w:rsidRDefault="00462250" w:rsidP="000717BC">
      <w:pPr>
        <w:spacing w:after="0" w:line="240" w:lineRule="auto"/>
        <w:rPr>
          <w:rFonts w:ascii="Titillium" w:eastAsia="Calibri" w:hAnsi="Titillium"/>
          <w:iCs/>
        </w:rPr>
      </w:pPr>
    </w:p>
    <w:p w14:paraId="293D6548" w14:textId="77777777" w:rsidR="00462250" w:rsidRDefault="00462250" w:rsidP="000717BC">
      <w:pPr>
        <w:spacing w:after="0" w:line="240" w:lineRule="auto"/>
        <w:rPr>
          <w:rFonts w:ascii="Titillium" w:eastAsia="Calibri" w:hAnsi="Titillium"/>
          <w:iCs/>
        </w:rPr>
      </w:pPr>
    </w:p>
    <w:p w14:paraId="003460B1" w14:textId="77777777" w:rsidR="00462250" w:rsidRDefault="00462250" w:rsidP="000717BC">
      <w:pPr>
        <w:spacing w:after="0" w:line="240" w:lineRule="auto"/>
        <w:rPr>
          <w:rFonts w:ascii="Titillium" w:eastAsia="Calibri" w:hAnsi="Titillium"/>
          <w:iCs/>
        </w:rPr>
      </w:pPr>
    </w:p>
    <w:p w14:paraId="3BF73A76" w14:textId="77777777" w:rsidR="00462250" w:rsidRDefault="00462250" w:rsidP="000717BC">
      <w:pPr>
        <w:spacing w:after="0" w:line="240" w:lineRule="auto"/>
        <w:rPr>
          <w:rFonts w:ascii="Titillium" w:eastAsia="Calibri" w:hAnsi="Titillium"/>
          <w:iCs/>
        </w:rPr>
      </w:pPr>
    </w:p>
    <w:p w14:paraId="5F71D702" w14:textId="77777777" w:rsidR="00462250" w:rsidRDefault="00462250" w:rsidP="000717BC">
      <w:pPr>
        <w:spacing w:after="0" w:line="240" w:lineRule="auto"/>
        <w:rPr>
          <w:rFonts w:ascii="Titillium" w:eastAsia="Calibri" w:hAnsi="Titillium"/>
          <w:iCs/>
        </w:rPr>
      </w:pPr>
    </w:p>
    <w:p w14:paraId="4B8CBC9A" w14:textId="77777777" w:rsidR="00462250" w:rsidRDefault="00462250" w:rsidP="000717BC">
      <w:pPr>
        <w:spacing w:after="0" w:line="240" w:lineRule="auto"/>
        <w:rPr>
          <w:rFonts w:ascii="Titillium" w:eastAsia="Calibri" w:hAnsi="Titillium"/>
          <w:iCs/>
        </w:rPr>
      </w:pPr>
    </w:p>
    <w:p w14:paraId="47A93197" w14:textId="77777777" w:rsidR="00462250" w:rsidRDefault="00462250" w:rsidP="000717BC">
      <w:pPr>
        <w:spacing w:after="0" w:line="240" w:lineRule="auto"/>
        <w:rPr>
          <w:rFonts w:ascii="Titillium" w:eastAsia="Calibri" w:hAnsi="Titillium"/>
          <w:iCs/>
        </w:rPr>
      </w:pPr>
    </w:p>
    <w:p w14:paraId="710C0B94" w14:textId="77777777" w:rsidR="00636761" w:rsidRDefault="00636761" w:rsidP="000717BC">
      <w:pPr>
        <w:spacing w:after="0" w:line="240" w:lineRule="auto"/>
        <w:rPr>
          <w:rFonts w:ascii="Titillium" w:eastAsia="Calibri" w:hAnsi="Titillium"/>
          <w:iCs/>
        </w:rPr>
      </w:pPr>
    </w:p>
    <w:p w14:paraId="06DFAA06" w14:textId="77777777" w:rsidR="00636761" w:rsidRDefault="00636761" w:rsidP="000717BC">
      <w:pPr>
        <w:spacing w:after="0" w:line="240" w:lineRule="auto"/>
        <w:rPr>
          <w:rFonts w:ascii="Titillium" w:eastAsia="Calibri" w:hAnsi="Titillium"/>
          <w:iCs/>
        </w:rPr>
      </w:pPr>
    </w:p>
    <w:p w14:paraId="4F109788" w14:textId="77777777" w:rsidR="00636761" w:rsidRDefault="00636761" w:rsidP="000717BC">
      <w:pPr>
        <w:spacing w:after="0" w:line="240" w:lineRule="auto"/>
        <w:rPr>
          <w:rFonts w:ascii="Titillium" w:eastAsia="Calibri" w:hAnsi="Titillium"/>
          <w:iCs/>
        </w:rPr>
      </w:pPr>
    </w:p>
    <w:p w14:paraId="624C7678" w14:textId="77777777" w:rsidR="00636761" w:rsidRDefault="00636761" w:rsidP="000717BC">
      <w:pPr>
        <w:spacing w:after="0" w:line="240" w:lineRule="auto"/>
        <w:rPr>
          <w:rFonts w:ascii="Titillium" w:eastAsia="Calibri" w:hAnsi="Titillium"/>
          <w:iCs/>
        </w:rPr>
      </w:pPr>
    </w:p>
    <w:p w14:paraId="379652A6" w14:textId="77777777" w:rsidR="00636761" w:rsidRDefault="00636761" w:rsidP="000717BC">
      <w:pPr>
        <w:spacing w:after="0" w:line="240" w:lineRule="auto"/>
        <w:rPr>
          <w:rFonts w:ascii="Titillium" w:eastAsia="Calibri" w:hAnsi="Titillium"/>
          <w:iCs/>
        </w:rPr>
      </w:pPr>
    </w:p>
    <w:p w14:paraId="5BEB3408" w14:textId="77777777" w:rsidR="00636761" w:rsidRDefault="00636761" w:rsidP="000717BC">
      <w:pPr>
        <w:spacing w:after="0" w:line="240" w:lineRule="auto"/>
        <w:rPr>
          <w:rFonts w:ascii="Titillium" w:eastAsia="Calibri" w:hAnsi="Titillium"/>
          <w:iCs/>
        </w:rPr>
      </w:pPr>
    </w:p>
    <w:p w14:paraId="7673519C" w14:textId="77777777" w:rsidR="00462250" w:rsidRDefault="00462250" w:rsidP="000717BC">
      <w:pPr>
        <w:spacing w:after="0" w:line="240" w:lineRule="auto"/>
        <w:rPr>
          <w:rFonts w:ascii="Titillium" w:eastAsia="Calibri" w:hAnsi="Titillium"/>
          <w:iCs/>
        </w:rPr>
      </w:pPr>
    </w:p>
    <w:p w14:paraId="6F33A52C" w14:textId="77777777" w:rsidR="00462250" w:rsidRDefault="00462250" w:rsidP="000717BC">
      <w:pPr>
        <w:spacing w:after="0" w:line="240" w:lineRule="auto"/>
        <w:rPr>
          <w:rFonts w:ascii="Titillium" w:eastAsia="Calibri" w:hAnsi="Titillium"/>
          <w:iCs/>
        </w:rPr>
      </w:pPr>
    </w:p>
    <w:p w14:paraId="6356BCAC" w14:textId="77777777" w:rsidR="00462250" w:rsidRDefault="00462250" w:rsidP="000717BC">
      <w:pPr>
        <w:spacing w:after="0" w:line="240" w:lineRule="auto"/>
        <w:rPr>
          <w:rFonts w:ascii="Titillium" w:eastAsia="Calibri" w:hAnsi="Titillium"/>
          <w:iCs/>
        </w:rPr>
      </w:pPr>
    </w:p>
    <w:p w14:paraId="002B994D" w14:textId="77777777" w:rsidR="00462250" w:rsidRDefault="00462250" w:rsidP="000717BC">
      <w:pPr>
        <w:spacing w:after="0" w:line="240" w:lineRule="auto"/>
        <w:rPr>
          <w:rFonts w:ascii="Titillium" w:eastAsia="Calibri" w:hAnsi="Titillium"/>
          <w:iCs/>
        </w:rPr>
      </w:pPr>
    </w:p>
    <w:p w14:paraId="067AA853" w14:textId="77777777" w:rsidR="00462250" w:rsidRDefault="00462250" w:rsidP="000717BC">
      <w:pPr>
        <w:spacing w:after="0" w:line="240" w:lineRule="auto"/>
        <w:rPr>
          <w:rFonts w:ascii="Titillium" w:eastAsia="Calibri" w:hAnsi="Titillium"/>
          <w:iCs/>
        </w:rPr>
      </w:pPr>
    </w:p>
    <w:p w14:paraId="29A0BEBE" w14:textId="77777777" w:rsidR="00462250" w:rsidRDefault="00462250" w:rsidP="000717BC">
      <w:pPr>
        <w:spacing w:after="0" w:line="240" w:lineRule="auto"/>
        <w:rPr>
          <w:rFonts w:ascii="Titillium" w:eastAsia="Calibri" w:hAnsi="Titillium"/>
          <w:iCs/>
        </w:rPr>
      </w:pPr>
    </w:p>
    <w:p w14:paraId="34A1F875" w14:textId="77777777" w:rsidR="00462250" w:rsidRDefault="00462250" w:rsidP="000717BC">
      <w:pPr>
        <w:spacing w:after="0" w:line="240" w:lineRule="auto"/>
        <w:rPr>
          <w:rFonts w:ascii="Titillium" w:eastAsia="Calibri" w:hAnsi="Titillium"/>
          <w:iCs/>
        </w:rPr>
      </w:pPr>
    </w:p>
    <w:p w14:paraId="62C323E1" w14:textId="77777777" w:rsidR="00462250" w:rsidRDefault="00462250" w:rsidP="000717BC">
      <w:pPr>
        <w:spacing w:after="0" w:line="240" w:lineRule="auto"/>
        <w:rPr>
          <w:rFonts w:ascii="Titillium" w:eastAsia="Calibri" w:hAnsi="Titillium"/>
          <w:iCs/>
        </w:rPr>
      </w:pPr>
    </w:p>
    <w:p w14:paraId="1DF483B0" w14:textId="4DB95628" w:rsidR="00462250" w:rsidRPr="00480471" w:rsidRDefault="00636761" w:rsidP="00636761">
      <w:pPr>
        <w:pStyle w:val="Nagwek1"/>
        <w:rPr>
          <w:rFonts w:ascii="Times New Roman" w:eastAsia="Calibri" w:hAnsi="Times New Roman" w:cs="Times New Roman"/>
          <w:b/>
          <w:bCs/>
          <w:color w:val="auto"/>
        </w:rPr>
      </w:pPr>
      <w:r w:rsidRPr="00480471">
        <w:rPr>
          <w:rFonts w:ascii="Times New Roman" w:eastAsia="Calibri" w:hAnsi="Times New Roman" w:cs="Times New Roman"/>
          <w:b/>
          <w:bCs/>
          <w:color w:val="auto"/>
        </w:rPr>
        <w:t>Wstęp</w:t>
      </w:r>
    </w:p>
    <w:p w14:paraId="40CF9A27" w14:textId="77777777" w:rsidR="00636761" w:rsidRDefault="00636761" w:rsidP="00636761">
      <w:pPr>
        <w:rPr>
          <w:rFonts w:eastAsia="Calibri"/>
        </w:rPr>
      </w:pPr>
    </w:p>
    <w:p w14:paraId="429A0D8F" w14:textId="441B350F" w:rsidR="00636761" w:rsidRDefault="00636761" w:rsidP="00636761">
      <w:pPr>
        <w:ind w:left="708"/>
        <w:rPr>
          <w:rFonts w:ascii="Times New Roman" w:eastAsia="Calibri" w:hAnsi="Times New Roman"/>
          <w:sz w:val="24"/>
          <w:szCs w:val="24"/>
        </w:rPr>
      </w:pPr>
    </w:p>
    <w:p w14:paraId="66F71B8C" w14:textId="30E8B5E8" w:rsidR="002A28A6" w:rsidRDefault="00636761" w:rsidP="002A28A6">
      <w:pPr>
        <w:spacing w:line="300" w:lineRule="auto"/>
        <w:ind w:firstLine="709"/>
        <w:rPr>
          <w:rFonts w:ascii="Times New Roman" w:eastAsia="Calibri" w:hAnsi="Times New Roman"/>
          <w:sz w:val="24"/>
          <w:szCs w:val="24"/>
        </w:rPr>
      </w:pPr>
      <w:bookmarkStart w:id="1" w:name="_Hlk180350528"/>
      <w:r>
        <w:rPr>
          <w:rFonts w:ascii="Times New Roman" w:eastAsia="Calibri" w:hAnsi="Times New Roman"/>
          <w:sz w:val="24"/>
          <w:szCs w:val="24"/>
        </w:rPr>
        <w:lastRenderedPageBreak/>
        <w:t xml:space="preserve">Kryptowaluty to </w:t>
      </w:r>
      <w:r w:rsidR="00D127A5">
        <w:rPr>
          <w:rFonts w:ascii="Times New Roman" w:eastAsia="Calibri" w:hAnsi="Times New Roman"/>
          <w:sz w:val="24"/>
          <w:szCs w:val="24"/>
        </w:rPr>
        <w:t xml:space="preserve">cyfrowe środki płatnicze, które mogą być stosowane do zakupu, sprzedaży lub obrotu towarami bez pośrednictwa banków. Ze względu na to, że są one wyłącznie wirtualne, to nie możemy ich posiadać w formie fizycznej. Istnieją one jedynie jako zaszyfrowane zapisy w bazach danych. </w:t>
      </w:r>
    </w:p>
    <w:p w14:paraId="33F28510" w14:textId="77777777" w:rsidR="00153B8E" w:rsidRDefault="008B63C7" w:rsidP="00480471">
      <w:pPr>
        <w:spacing w:line="300" w:lineRule="auto"/>
        <w:ind w:firstLine="709"/>
        <w:rPr>
          <w:rFonts w:ascii="Times New Roman" w:eastAsia="Calibri" w:hAnsi="Times New Roman"/>
          <w:sz w:val="24"/>
          <w:szCs w:val="24"/>
        </w:rPr>
      </w:pPr>
      <w:r>
        <w:rPr>
          <w:rFonts w:ascii="Times New Roman" w:eastAsia="Calibri" w:hAnsi="Times New Roman"/>
          <w:sz w:val="24"/>
          <w:szCs w:val="24"/>
        </w:rPr>
        <w:t xml:space="preserve">Duży wpływ na rynek kryptowalut mają prognozy i spekulacje ekspertów oraz inwestorów. Dzięki analizie trendów rynkowych, znajomości technologii i wieloletniemu doświadczeniu, eksperci mogą przewidywać zmiany kurów kryptowalut co pozwala im na osiągnięcie zysków. </w:t>
      </w:r>
      <w:r w:rsidR="002A28A6">
        <w:rPr>
          <w:rFonts w:ascii="Times New Roman" w:eastAsia="Calibri" w:hAnsi="Times New Roman"/>
          <w:sz w:val="24"/>
          <w:szCs w:val="24"/>
        </w:rPr>
        <w:t xml:space="preserve">Mimo to, rynek kryptowalut jest chwiejny i nieprzewidywalny, co sprawia, że każda prognoza wiąże się z większym lub mniejszym ryzykiem. </w:t>
      </w:r>
      <w:r w:rsidR="00480471">
        <w:rPr>
          <w:rFonts w:ascii="Times New Roman" w:eastAsia="Calibri" w:hAnsi="Times New Roman"/>
          <w:sz w:val="24"/>
          <w:szCs w:val="24"/>
        </w:rPr>
        <w:t>Istnieją także metody predykcji oparte na analizę kursów historycznych, które wykorzystują algorytmy do przewidywania przyszłych zmian na podstawie wcześniejszych zachowań rynku.</w:t>
      </w:r>
    </w:p>
    <w:p w14:paraId="3A68337A" w14:textId="77777777" w:rsidR="00153B8E" w:rsidRDefault="00153B8E" w:rsidP="00480471">
      <w:pPr>
        <w:spacing w:line="300" w:lineRule="auto"/>
        <w:ind w:firstLine="709"/>
        <w:rPr>
          <w:rFonts w:ascii="Times New Roman" w:eastAsia="Calibri" w:hAnsi="Times New Roman"/>
          <w:sz w:val="24"/>
          <w:szCs w:val="24"/>
        </w:rPr>
      </w:pPr>
      <w:r>
        <w:rPr>
          <w:rFonts w:ascii="Times New Roman" w:eastAsia="Calibri" w:hAnsi="Times New Roman"/>
          <w:sz w:val="24"/>
          <w:szCs w:val="24"/>
        </w:rPr>
        <w:t>Do najczęściej stosowanych należą:</w:t>
      </w:r>
    </w:p>
    <w:p w14:paraId="21ECB68B" w14:textId="77777777" w:rsidR="00153B8E" w:rsidRDefault="00153B8E" w:rsidP="00153B8E">
      <w:pPr>
        <w:pStyle w:val="Akapitzlist"/>
        <w:numPr>
          <w:ilvl w:val="0"/>
          <w:numId w:val="4"/>
        </w:numPr>
        <w:spacing w:line="300" w:lineRule="auto"/>
        <w:rPr>
          <w:rFonts w:ascii="Times New Roman" w:eastAsia="Calibri" w:hAnsi="Times New Roman"/>
          <w:sz w:val="24"/>
          <w:szCs w:val="24"/>
        </w:rPr>
      </w:pPr>
      <w:r>
        <w:rPr>
          <w:rFonts w:ascii="Times New Roman" w:eastAsia="Calibri" w:hAnsi="Times New Roman"/>
          <w:sz w:val="24"/>
          <w:szCs w:val="24"/>
        </w:rPr>
        <w:t>Sieci neuronowe</w:t>
      </w:r>
    </w:p>
    <w:p w14:paraId="4D2FA76C" w14:textId="77777777" w:rsidR="00153B8E" w:rsidRDefault="00153B8E" w:rsidP="00153B8E">
      <w:pPr>
        <w:pStyle w:val="Akapitzlist"/>
        <w:numPr>
          <w:ilvl w:val="0"/>
          <w:numId w:val="4"/>
        </w:numPr>
        <w:spacing w:line="300" w:lineRule="auto"/>
        <w:rPr>
          <w:rFonts w:ascii="Times New Roman" w:eastAsia="Calibri" w:hAnsi="Times New Roman"/>
          <w:sz w:val="24"/>
          <w:szCs w:val="24"/>
        </w:rPr>
      </w:pPr>
      <w:r>
        <w:rPr>
          <w:rFonts w:ascii="Times New Roman" w:eastAsia="Calibri" w:hAnsi="Times New Roman"/>
          <w:sz w:val="24"/>
          <w:szCs w:val="24"/>
        </w:rPr>
        <w:t>Modele matematyczne</w:t>
      </w:r>
    </w:p>
    <w:p w14:paraId="10DA3C3F" w14:textId="4481DE07" w:rsidR="00462250" w:rsidRDefault="00153B8E" w:rsidP="001A4093">
      <w:pPr>
        <w:spacing w:line="300" w:lineRule="auto"/>
        <w:ind w:firstLine="708"/>
        <w:rPr>
          <w:rFonts w:ascii="Times New Roman" w:eastAsia="Calibri" w:hAnsi="Times New Roman"/>
          <w:sz w:val="24"/>
          <w:szCs w:val="24"/>
        </w:rPr>
      </w:pPr>
      <w:r>
        <w:rPr>
          <w:rFonts w:ascii="Times New Roman" w:eastAsia="Calibri" w:hAnsi="Times New Roman"/>
          <w:sz w:val="24"/>
          <w:szCs w:val="24"/>
        </w:rPr>
        <w:t xml:space="preserve">Sieci neuronowe </w:t>
      </w:r>
      <w:r w:rsidR="00A64D60">
        <w:rPr>
          <w:rFonts w:ascii="Times New Roman" w:eastAsia="Calibri" w:hAnsi="Times New Roman"/>
          <w:sz w:val="24"/>
          <w:szCs w:val="24"/>
        </w:rPr>
        <w:t>to zaawansowane algorytmy wzorcowane na pracy ludzkiego mózgu</w:t>
      </w:r>
      <w:r w:rsidR="004E6847">
        <w:rPr>
          <w:rFonts w:ascii="Times New Roman" w:eastAsia="Calibri" w:hAnsi="Times New Roman"/>
          <w:sz w:val="24"/>
          <w:szCs w:val="24"/>
        </w:rPr>
        <w:t xml:space="preserve">, zdolne do uczenia się na podstawie dostarczonych danych. W kontekście rynku kryptowalut, sztuczne sieci neuronowe mogą </w:t>
      </w:r>
      <w:r w:rsidR="001A4093">
        <w:rPr>
          <w:rFonts w:ascii="Times New Roman" w:eastAsia="Calibri" w:hAnsi="Times New Roman"/>
          <w:sz w:val="24"/>
          <w:szCs w:val="24"/>
        </w:rPr>
        <w:t xml:space="preserve">analizować skomplikowane wzorce i zależności w cenach oraz innych zmiennych. Modele uczą się na podstawie danych historycznych, a ich celem jest predykcja przyszłych wartości kursów uwzględniając </w:t>
      </w:r>
      <w:bookmarkEnd w:id="1"/>
      <w:r w:rsidR="001A4093">
        <w:rPr>
          <w:rFonts w:ascii="Times New Roman" w:eastAsia="Calibri" w:hAnsi="Times New Roman"/>
          <w:sz w:val="24"/>
          <w:szCs w:val="24"/>
        </w:rPr>
        <w:t xml:space="preserve">różnorodne zmienne oraz wyuczone zachowania rynku. Jednak dokładność sieci jest zależna od dostarczonych danych oraz parametrów modelu jakie zostaną wykorzystane do uczenia modelu. Oznacza to, że mogą być one podatne na błędy. </w:t>
      </w:r>
    </w:p>
    <w:p w14:paraId="4999FAC2" w14:textId="3B38DD9E" w:rsidR="001A4093" w:rsidRDefault="001A4093" w:rsidP="001A4093">
      <w:pPr>
        <w:spacing w:line="300" w:lineRule="auto"/>
        <w:ind w:firstLine="708"/>
        <w:rPr>
          <w:rFonts w:ascii="Titillium" w:eastAsia="Calibri" w:hAnsi="Titillium"/>
          <w:iCs/>
        </w:rPr>
      </w:pPr>
      <w:r>
        <w:rPr>
          <w:rFonts w:ascii="Times New Roman" w:eastAsia="Calibri" w:hAnsi="Times New Roman"/>
          <w:sz w:val="24"/>
          <w:szCs w:val="24"/>
        </w:rPr>
        <w:t xml:space="preserve">Modele matematyczne opierają się bardziej na statystycznych i matematycznych podejściach, które pozwalają na przewidywanie przyszłych wartości na podstawie danych z przeszłości. Modele te bazują na założeniu, że istnieją powtarzalne wzorce w </w:t>
      </w:r>
      <w:r w:rsidRPr="001A4093">
        <w:rPr>
          <w:rFonts w:ascii="Times New Roman" w:eastAsia="Calibri" w:hAnsi="Times New Roman"/>
          <w:sz w:val="24"/>
          <w:szCs w:val="24"/>
        </w:rPr>
        <w:t>zachowaniach</w:t>
      </w:r>
      <w:r>
        <w:rPr>
          <w:rFonts w:ascii="Times New Roman" w:eastAsia="Calibri" w:hAnsi="Times New Roman"/>
          <w:sz w:val="24"/>
          <w:szCs w:val="24"/>
        </w:rPr>
        <w:t xml:space="preserve"> rynkowych które można opisać za pomocą matematycznych równań. </w:t>
      </w:r>
    </w:p>
    <w:p w14:paraId="5859BA82" w14:textId="77777777" w:rsidR="00462250" w:rsidRDefault="00462250" w:rsidP="000717BC">
      <w:pPr>
        <w:spacing w:after="0" w:line="240" w:lineRule="auto"/>
        <w:rPr>
          <w:rFonts w:ascii="Titillium" w:eastAsia="Calibri" w:hAnsi="Titillium"/>
          <w:iCs/>
        </w:rPr>
      </w:pPr>
    </w:p>
    <w:sectPr w:rsidR="00462250">
      <w:head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0E8B4C" w14:textId="77777777" w:rsidR="00965388" w:rsidRDefault="00965388" w:rsidP="004677F7">
      <w:pPr>
        <w:spacing w:after="0" w:line="240" w:lineRule="auto"/>
      </w:pPr>
      <w:r>
        <w:separator/>
      </w:r>
    </w:p>
  </w:endnote>
  <w:endnote w:type="continuationSeparator" w:id="0">
    <w:p w14:paraId="6BA2C95B" w14:textId="77777777" w:rsidR="00965388" w:rsidRDefault="00965388" w:rsidP="00467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EE"/>
    <w:family w:val="swiss"/>
    <w:pitch w:val="variable"/>
    <w:sig w:usb0="E4002EFF" w:usb1="C000E47F" w:usb2="00000009" w:usb3="00000000" w:csb0="000001FF" w:csb1="00000000"/>
  </w:font>
  <w:font w:name="Titillium">
    <w:altName w:val="Calibri"/>
    <w:panose1 w:val="00000000000000000000"/>
    <w:charset w:val="00"/>
    <w:family w:val="modern"/>
    <w:notTrueType/>
    <w:pitch w:val="variable"/>
    <w:sig w:usb0="00000007" w:usb1="00000001" w:usb2="00000000" w:usb3="00000000" w:csb0="00000093" w:csb1="00000000"/>
  </w:font>
  <w:font w:name="Verdana">
    <w:panose1 w:val="020B0604030504040204"/>
    <w:charset w:val="EE"/>
    <w:family w:val="swiss"/>
    <w:pitch w:val="variable"/>
    <w:sig w:usb0="A00006FF" w:usb1="4000205B" w:usb2="0000001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BC691D" w14:textId="77777777" w:rsidR="00965388" w:rsidRDefault="00965388" w:rsidP="004677F7">
      <w:pPr>
        <w:spacing w:after="0" w:line="240" w:lineRule="auto"/>
      </w:pPr>
      <w:r>
        <w:separator/>
      </w:r>
    </w:p>
  </w:footnote>
  <w:footnote w:type="continuationSeparator" w:id="0">
    <w:p w14:paraId="675E7FD3" w14:textId="77777777" w:rsidR="00965388" w:rsidRDefault="00965388" w:rsidP="004677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DA77E5" w14:textId="77777777" w:rsidR="004639FD" w:rsidRPr="004639FD" w:rsidRDefault="004639FD" w:rsidP="004639FD">
    <w:pPr>
      <w:pStyle w:val="Nagwek"/>
      <w:jc w:val="right"/>
      <w:rPr>
        <w:rFonts w:ascii="Verdana" w:hAnsi="Verdana"/>
        <w:i/>
        <w:sz w:val="16"/>
        <w:szCs w:val="16"/>
      </w:rPr>
    </w:pPr>
    <w:r>
      <w:rPr>
        <w:rFonts w:ascii="Verdana" w:hAnsi="Verdana"/>
        <w:i/>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1" w15:restartNumberingAfterBreak="0">
    <w:nsid w:val="3FFF622A"/>
    <w:multiLevelType w:val="hybridMultilevel"/>
    <w:tmpl w:val="480EC178"/>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num w:numId="4" w16cid:durableId="1544990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7F7"/>
    <w:rsid w:val="00007B1B"/>
    <w:rsid w:val="000651E0"/>
    <w:rsid w:val="000717BC"/>
    <w:rsid w:val="00082C1B"/>
    <w:rsid w:val="000C330A"/>
    <w:rsid w:val="00144609"/>
    <w:rsid w:val="00153B8E"/>
    <w:rsid w:val="0019690E"/>
    <w:rsid w:val="001A4093"/>
    <w:rsid w:val="001D63F1"/>
    <w:rsid w:val="00227330"/>
    <w:rsid w:val="002A28A6"/>
    <w:rsid w:val="002F406B"/>
    <w:rsid w:val="002F7A7B"/>
    <w:rsid w:val="0031138A"/>
    <w:rsid w:val="003A5CA6"/>
    <w:rsid w:val="003C30A2"/>
    <w:rsid w:val="00462250"/>
    <w:rsid w:val="004639FD"/>
    <w:rsid w:val="004677F7"/>
    <w:rsid w:val="00480471"/>
    <w:rsid w:val="004D20AD"/>
    <w:rsid w:val="004E3308"/>
    <w:rsid w:val="004E6847"/>
    <w:rsid w:val="00520846"/>
    <w:rsid w:val="00550542"/>
    <w:rsid w:val="0057204F"/>
    <w:rsid w:val="005B2B06"/>
    <w:rsid w:val="005C26A6"/>
    <w:rsid w:val="00603FD4"/>
    <w:rsid w:val="00612DA4"/>
    <w:rsid w:val="00632BAE"/>
    <w:rsid w:val="00636761"/>
    <w:rsid w:val="00647956"/>
    <w:rsid w:val="00664C47"/>
    <w:rsid w:val="00692C51"/>
    <w:rsid w:val="00697EE9"/>
    <w:rsid w:val="006A7187"/>
    <w:rsid w:val="006E6A1B"/>
    <w:rsid w:val="007068E8"/>
    <w:rsid w:val="00723559"/>
    <w:rsid w:val="007315CD"/>
    <w:rsid w:val="00751716"/>
    <w:rsid w:val="007C463E"/>
    <w:rsid w:val="007C6F33"/>
    <w:rsid w:val="008B63C7"/>
    <w:rsid w:val="0092263A"/>
    <w:rsid w:val="00925D9A"/>
    <w:rsid w:val="0096181E"/>
    <w:rsid w:val="00963D49"/>
    <w:rsid w:val="00965388"/>
    <w:rsid w:val="00965E7D"/>
    <w:rsid w:val="009729D7"/>
    <w:rsid w:val="009B7364"/>
    <w:rsid w:val="009E3297"/>
    <w:rsid w:val="00A22E62"/>
    <w:rsid w:val="00A35B3E"/>
    <w:rsid w:val="00A64D60"/>
    <w:rsid w:val="00A80FCC"/>
    <w:rsid w:val="00B00E52"/>
    <w:rsid w:val="00B1033E"/>
    <w:rsid w:val="00B339E0"/>
    <w:rsid w:val="00B7303D"/>
    <w:rsid w:val="00B911C4"/>
    <w:rsid w:val="00BA421B"/>
    <w:rsid w:val="00BB4C65"/>
    <w:rsid w:val="00BD0A63"/>
    <w:rsid w:val="00BD6504"/>
    <w:rsid w:val="00C746E7"/>
    <w:rsid w:val="00C80924"/>
    <w:rsid w:val="00C863D4"/>
    <w:rsid w:val="00CA1064"/>
    <w:rsid w:val="00D127A5"/>
    <w:rsid w:val="00D65588"/>
    <w:rsid w:val="00DD2C0C"/>
    <w:rsid w:val="00E05F1B"/>
    <w:rsid w:val="00E24BF5"/>
    <w:rsid w:val="00E34BA0"/>
    <w:rsid w:val="00E47243"/>
    <w:rsid w:val="00E802F4"/>
    <w:rsid w:val="00EB4C05"/>
    <w:rsid w:val="00EC07C3"/>
    <w:rsid w:val="00F04EE3"/>
    <w:rsid w:val="00F34791"/>
    <w:rsid w:val="00F47AF3"/>
    <w:rsid w:val="00FC6C4B"/>
    <w:rsid w:val="00FD0786"/>
    <w:rsid w:val="00FF1D99"/>
    <w:rsid w:val="00FF7D7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77A3C"/>
  <w15:chartTrackingRefBased/>
  <w15:docId w15:val="{0F913A6B-B634-488A-9B92-F14D9782F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4677F7"/>
    <w:pPr>
      <w:spacing w:after="200" w:line="252" w:lineRule="auto"/>
    </w:pPr>
    <w:rPr>
      <w:rFonts w:ascii="Calibri Light" w:eastAsia="Times New Roman" w:hAnsi="Calibri Light"/>
      <w:sz w:val="22"/>
      <w:szCs w:val="22"/>
      <w:lang w:eastAsia="en-US"/>
    </w:rPr>
  </w:style>
  <w:style w:type="paragraph" w:styleId="Nagwek1">
    <w:name w:val="heading 1"/>
    <w:basedOn w:val="Normalny"/>
    <w:next w:val="Normalny"/>
    <w:link w:val="Nagwek1Znak"/>
    <w:uiPriority w:val="9"/>
    <w:qFormat/>
    <w:rsid w:val="00E05F1B"/>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dolnego">
    <w:name w:val="footnote text"/>
    <w:basedOn w:val="Normalny"/>
    <w:link w:val="TekstprzypisudolnegoZnak"/>
    <w:semiHidden/>
    <w:unhideWhenUsed/>
    <w:rsid w:val="004677F7"/>
    <w:pPr>
      <w:spacing w:line="240" w:lineRule="auto"/>
    </w:pPr>
    <w:rPr>
      <w:sz w:val="20"/>
      <w:szCs w:val="20"/>
    </w:rPr>
  </w:style>
  <w:style w:type="character" w:customStyle="1" w:styleId="TekstprzypisudolnegoZnak">
    <w:name w:val="Tekst przypisu dolnego Znak"/>
    <w:link w:val="Tekstprzypisudolnego"/>
    <w:semiHidden/>
    <w:rsid w:val="004677F7"/>
    <w:rPr>
      <w:rFonts w:ascii="Calibri Light" w:eastAsia="Times New Roman" w:hAnsi="Calibri Light" w:cs="Times New Roman"/>
      <w:sz w:val="20"/>
      <w:szCs w:val="20"/>
    </w:rPr>
  </w:style>
  <w:style w:type="character" w:styleId="Odwoanieprzypisudolnego">
    <w:name w:val="footnote reference"/>
    <w:semiHidden/>
    <w:unhideWhenUsed/>
    <w:rsid w:val="004677F7"/>
    <w:rPr>
      <w:vertAlign w:val="superscript"/>
    </w:rPr>
  </w:style>
  <w:style w:type="paragraph" w:styleId="Nagwek">
    <w:name w:val="header"/>
    <w:basedOn w:val="Normalny"/>
    <w:link w:val="NagwekZnak"/>
    <w:uiPriority w:val="99"/>
    <w:unhideWhenUsed/>
    <w:rsid w:val="004639FD"/>
    <w:pPr>
      <w:tabs>
        <w:tab w:val="center" w:pos="4536"/>
        <w:tab w:val="right" w:pos="9072"/>
      </w:tabs>
    </w:pPr>
  </w:style>
  <w:style w:type="character" w:customStyle="1" w:styleId="NagwekZnak">
    <w:name w:val="Nagłówek Znak"/>
    <w:link w:val="Nagwek"/>
    <w:uiPriority w:val="99"/>
    <w:rsid w:val="004639FD"/>
    <w:rPr>
      <w:rFonts w:ascii="Calibri Light" w:eastAsia="Times New Roman" w:hAnsi="Calibri Light"/>
      <w:sz w:val="22"/>
      <w:szCs w:val="22"/>
      <w:lang w:eastAsia="en-US"/>
    </w:rPr>
  </w:style>
  <w:style w:type="paragraph" w:styleId="Stopka">
    <w:name w:val="footer"/>
    <w:basedOn w:val="Normalny"/>
    <w:link w:val="StopkaZnak"/>
    <w:uiPriority w:val="99"/>
    <w:unhideWhenUsed/>
    <w:rsid w:val="004639FD"/>
    <w:pPr>
      <w:tabs>
        <w:tab w:val="center" w:pos="4536"/>
        <w:tab w:val="right" w:pos="9072"/>
      </w:tabs>
    </w:pPr>
  </w:style>
  <w:style w:type="character" w:customStyle="1" w:styleId="StopkaZnak">
    <w:name w:val="Stopka Znak"/>
    <w:link w:val="Stopka"/>
    <w:uiPriority w:val="99"/>
    <w:rsid w:val="004639FD"/>
    <w:rPr>
      <w:rFonts w:ascii="Calibri Light" w:eastAsia="Times New Roman" w:hAnsi="Calibri Light"/>
      <w:sz w:val="22"/>
      <w:szCs w:val="22"/>
      <w:lang w:eastAsia="en-US"/>
    </w:rPr>
  </w:style>
  <w:style w:type="character" w:styleId="Odwoaniedokomentarza">
    <w:name w:val="annotation reference"/>
    <w:uiPriority w:val="99"/>
    <w:semiHidden/>
    <w:unhideWhenUsed/>
    <w:rsid w:val="000C330A"/>
    <w:rPr>
      <w:sz w:val="16"/>
      <w:szCs w:val="16"/>
    </w:rPr>
  </w:style>
  <w:style w:type="paragraph" w:styleId="Tekstkomentarza">
    <w:name w:val="annotation text"/>
    <w:basedOn w:val="Normalny"/>
    <w:link w:val="TekstkomentarzaZnak"/>
    <w:uiPriority w:val="99"/>
    <w:semiHidden/>
    <w:unhideWhenUsed/>
    <w:rsid w:val="000C330A"/>
    <w:rPr>
      <w:sz w:val="20"/>
      <w:szCs w:val="20"/>
    </w:rPr>
  </w:style>
  <w:style w:type="character" w:customStyle="1" w:styleId="TekstkomentarzaZnak">
    <w:name w:val="Tekst komentarza Znak"/>
    <w:link w:val="Tekstkomentarza"/>
    <w:uiPriority w:val="99"/>
    <w:semiHidden/>
    <w:rsid w:val="000C330A"/>
    <w:rPr>
      <w:rFonts w:ascii="Calibri Light" w:eastAsia="Times New Roman" w:hAnsi="Calibri Light"/>
      <w:lang w:eastAsia="en-US"/>
    </w:rPr>
  </w:style>
  <w:style w:type="paragraph" w:styleId="Tematkomentarza">
    <w:name w:val="annotation subject"/>
    <w:basedOn w:val="Tekstkomentarza"/>
    <w:next w:val="Tekstkomentarza"/>
    <w:link w:val="TematkomentarzaZnak"/>
    <w:uiPriority w:val="99"/>
    <w:semiHidden/>
    <w:unhideWhenUsed/>
    <w:rsid w:val="000C330A"/>
    <w:rPr>
      <w:b/>
      <w:bCs/>
    </w:rPr>
  </w:style>
  <w:style w:type="character" w:customStyle="1" w:styleId="TematkomentarzaZnak">
    <w:name w:val="Temat komentarza Znak"/>
    <w:link w:val="Tematkomentarza"/>
    <w:uiPriority w:val="99"/>
    <w:semiHidden/>
    <w:rsid w:val="000C330A"/>
    <w:rPr>
      <w:rFonts w:ascii="Calibri Light" w:eastAsia="Times New Roman" w:hAnsi="Calibri Light"/>
      <w:b/>
      <w:bCs/>
      <w:lang w:eastAsia="en-US"/>
    </w:rPr>
  </w:style>
  <w:style w:type="paragraph" w:styleId="Tekstdymka">
    <w:name w:val="Balloon Text"/>
    <w:basedOn w:val="Normalny"/>
    <w:link w:val="TekstdymkaZnak"/>
    <w:uiPriority w:val="99"/>
    <w:semiHidden/>
    <w:unhideWhenUsed/>
    <w:rsid w:val="000C330A"/>
    <w:pPr>
      <w:spacing w:after="0" w:line="240" w:lineRule="auto"/>
    </w:pPr>
    <w:rPr>
      <w:rFonts w:ascii="Segoe UI" w:hAnsi="Segoe UI" w:cs="Segoe UI"/>
      <w:sz w:val="18"/>
      <w:szCs w:val="18"/>
    </w:rPr>
  </w:style>
  <w:style w:type="character" w:customStyle="1" w:styleId="TekstdymkaZnak">
    <w:name w:val="Tekst dymka Znak"/>
    <w:link w:val="Tekstdymka"/>
    <w:uiPriority w:val="99"/>
    <w:semiHidden/>
    <w:rsid w:val="000C330A"/>
    <w:rPr>
      <w:rFonts w:ascii="Segoe UI" w:eastAsia="Times New Roman" w:hAnsi="Segoe UI" w:cs="Segoe UI"/>
      <w:sz w:val="18"/>
      <w:szCs w:val="18"/>
      <w:lang w:eastAsia="en-US"/>
    </w:rPr>
  </w:style>
  <w:style w:type="character" w:styleId="Hipercze">
    <w:name w:val="Hyperlink"/>
    <w:uiPriority w:val="99"/>
    <w:unhideWhenUsed/>
    <w:rsid w:val="000717BC"/>
    <w:rPr>
      <w:color w:val="467886"/>
      <w:u w:val="single"/>
    </w:rPr>
  </w:style>
  <w:style w:type="character" w:styleId="Nierozpoznanawzmianka">
    <w:name w:val="Unresolved Mention"/>
    <w:uiPriority w:val="99"/>
    <w:semiHidden/>
    <w:unhideWhenUsed/>
    <w:rsid w:val="000717BC"/>
    <w:rPr>
      <w:color w:val="605E5C"/>
      <w:shd w:val="clear" w:color="auto" w:fill="E1DFDD"/>
    </w:rPr>
  </w:style>
  <w:style w:type="character" w:customStyle="1" w:styleId="Nagwek1Znak">
    <w:name w:val="Nagłówek 1 Znak"/>
    <w:basedOn w:val="Domylnaczcionkaakapitu"/>
    <w:link w:val="Nagwek1"/>
    <w:uiPriority w:val="9"/>
    <w:rsid w:val="00E05F1B"/>
    <w:rPr>
      <w:rFonts w:asciiTheme="majorHAnsi" w:eastAsiaTheme="majorEastAsia" w:hAnsiTheme="majorHAnsi" w:cstheme="majorBidi"/>
      <w:color w:val="0F4761" w:themeColor="accent1" w:themeShade="BF"/>
      <w:sz w:val="32"/>
      <w:szCs w:val="32"/>
      <w:lang w:eastAsia="en-US"/>
    </w:rPr>
  </w:style>
  <w:style w:type="paragraph" w:styleId="Akapitzlist">
    <w:name w:val="List Paragraph"/>
    <w:basedOn w:val="Normalny"/>
    <w:uiPriority w:val="34"/>
    <w:qFormat/>
    <w:rsid w:val="00153B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0D81EA905B6BC847BDD1FFADA815F393" ma:contentTypeVersion="15" ma:contentTypeDescription="Utwórz nowy dokument." ma:contentTypeScope="" ma:versionID="69ea3be99b7bb0ab6d1bcb7234ccdb04">
  <xsd:schema xmlns:xsd="http://www.w3.org/2001/XMLSchema" xmlns:xs="http://www.w3.org/2001/XMLSchema" xmlns:p="http://schemas.microsoft.com/office/2006/metadata/properties" xmlns:ns3="ebed57f9-8819-45bb-a9ab-8668b03beab8" xmlns:ns4="692ade2a-f34a-415b-a005-a596550909dc" targetNamespace="http://schemas.microsoft.com/office/2006/metadata/properties" ma:root="true" ma:fieldsID="294ea65f0ccc2ed5a3279c68dac70b7e" ns3:_="" ns4:_="">
    <xsd:import namespace="ebed57f9-8819-45bb-a9ab-8668b03beab8"/>
    <xsd:import namespace="692ade2a-f34a-415b-a005-a596550909d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ed57f9-8819-45bb-a9ab-8668b03bea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92ade2a-f34a-415b-a005-a596550909dc" elementFormDefault="qualified">
    <xsd:import namespace="http://schemas.microsoft.com/office/2006/documentManagement/types"/>
    <xsd:import namespace="http://schemas.microsoft.com/office/infopath/2007/PartnerControls"/>
    <xsd:element name="SharedWithUsers" ma:index="18" nillable="true" ma:displayName="Udostępniani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Udostępnione dla — szczegóły" ma:internalName="SharedWithDetails" ma:readOnly="true">
      <xsd:simpleType>
        <xsd:restriction base="dms:Note">
          <xsd:maxLength value="255"/>
        </xsd:restriction>
      </xsd:simpleType>
    </xsd:element>
    <xsd:element name="SharingHintHash" ma:index="20" nillable="true" ma:displayName="Skrót wskazówki dotyczącej udostępniani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A4F6CE-5C6A-416A-9686-66E6809E967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159D5FB-D5B8-4DDD-A2D3-C6E1A2B0D42B}">
  <ds:schemaRefs>
    <ds:schemaRef ds:uri="http://schemas.microsoft.com/sharepoint/v3/contenttype/forms"/>
  </ds:schemaRefs>
</ds:datastoreItem>
</file>

<file path=customXml/itemProps3.xml><?xml version="1.0" encoding="utf-8"?>
<ds:datastoreItem xmlns:ds="http://schemas.openxmlformats.org/officeDocument/2006/customXml" ds:itemID="{D94D60FB-3BF8-4ED4-992E-C6FB02FA57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ed57f9-8819-45bb-a9ab-8668b03beab8"/>
    <ds:schemaRef ds:uri="692ade2a-f34a-415b-a005-a596550909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EB8F3C9-5092-4B70-9FB5-8B950351F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863</TotalTime>
  <Pages>3</Pages>
  <Words>353</Words>
  <Characters>2124</Characters>
  <Application>Microsoft Office Word</Application>
  <DocSecurity>0</DocSecurity>
  <Lines>17</Lines>
  <Paragraphs>4</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Szczepan Moskwa</dc:creator>
  <cp:keywords/>
  <dc:description/>
  <cp:lastModifiedBy>Michał Cynarski</cp:lastModifiedBy>
  <cp:revision>5</cp:revision>
  <dcterms:created xsi:type="dcterms:W3CDTF">2024-10-09T19:17:00Z</dcterms:created>
  <dcterms:modified xsi:type="dcterms:W3CDTF">2024-10-20T21:28:00Z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0x0101000D81EA905B6BC847BDD1FFADA815F393</vt:lpwstr>
  </property>
</Properties>
</file>