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F4" w:rsidRDefault="005D11F4">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There are four broad types of property: land, improvements to land (immovable man-made objects, such as buildings), personal property (movable man-made objects), and</w:t>
      </w:r>
      <w:r>
        <w:rPr>
          <w:rStyle w:val="apple-converted-space"/>
          <w:rFonts w:ascii="Arial" w:hAnsi="Arial" w:cs="Arial"/>
          <w:color w:val="252525"/>
          <w:sz w:val="21"/>
          <w:szCs w:val="21"/>
          <w:shd w:val="clear" w:color="auto" w:fill="FFFFFF"/>
        </w:rPr>
        <w:t> </w:t>
      </w:r>
      <w:hyperlink r:id="rId4" w:tooltip="Intangible property" w:history="1">
        <w:r>
          <w:rPr>
            <w:rStyle w:val="Hyperlink"/>
            <w:rFonts w:ascii="Arial" w:hAnsi="Arial" w:cs="Arial"/>
            <w:color w:val="0B0080"/>
            <w:sz w:val="21"/>
            <w:szCs w:val="21"/>
            <w:u w:val="none"/>
            <w:shd w:val="clear" w:color="auto" w:fill="FFFFFF"/>
          </w:rPr>
          <w:t>intangible property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5" w:tooltip="Real property" w:history="1">
        <w:r>
          <w:rPr>
            <w:rStyle w:val="Hyperlink"/>
            <w:rFonts w:ascii="Arial" w:hAnsi="Arial" w:cs="Arial"/>
            <w:color w:val="0B0080"/>
            <w:sz w:val="21"/>
            <w:szCs w:val="21"/>
            <w:u w:val="none"/>
            <w:shd w:val="clear" w:color="auto" w:fill="FFFFFF"/>
          </w:rPr>
          <w:t>Real property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(also called real estate or realty) means the combination of land and improvements. Under a property tax system, the government requires and/or performs an</w:t>
      </w:r>
      <w:r>
        <w:rPr>
          <w:rStyle w:val="apple-converted-space"/>
          <w:rFonts w:ascii="Arial" w:hAnsi="Arial" w:cs="Arial"/>
          <w:color w:val="252525"/>
          <w:sz w:val="21"/>
          <w:szCs w:val="21"/>
          <w:shd w:val="clear" w:color="auto" w:fill="FFFFFF"/>
        </w:rPr>
        <w:t> </w:t>
      </w:r>
      <w:hyperlink r:id="rId6" w:tooltip="Real estate appraisal" w:history="1">
        <w:r>
          <w:rPr>
            <w:rStyle w:val="Hyperlink"/>
            <w:rFonts w:ascii="Arial" w:hAnsi="Arial" w:cs="Arial"/>
            <w:color w:val="0B0080"/>
            <w:sz w:val="21"/>
            <w:szCs w:val="21"/>
            <w:u w:val="none"/>
            <w:shd w:val="clear" w:color="auto" w:fill="FFFFFF"/>
          </w:rPr>
          <w:t>appraisal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of the monetary value of each property, and tax is assessed in proportion to that value. Forms of property tax used vary among countries and jurisdictions. Real property is often taxed based on its classification. Classification is the grouping of properties based on similar use. Properties in different classes are taxed at different rates. </w:t>
      </w:r>
    </w:p>
    <w:p w:rsidR="0009246E" w:rsidRDefault="005D11F4">
      <w:pPr>
        <w:rPr>
          <w:rFonts w:ascii="Arial" w:hAnsi="Arial" w:cs="Arial"/>
          <w:color w:val="252525"/>
          <w:sz w:val="21"/>
          <w:szCs w:val="21"/>
          <w:shd w:val="clear" w:color="auto" w:fill="FFFFFF"/>
        </w:rPr>
      </w:pPr>
      <w:r>
        <w:rPr>
          <w:rFonts w:ascii="Arial" w:hAnsi="Arial" w:cs="Arial"/>
          <w:color w:val="252525"/>
          <w:sz w:val="21"/>
          <w:szCs w:val="21"/>
          <w:shd w:val="clear" w:color="auto" w:fill="FFFFFF"/>
        </w:rPr>
        <w:t>Examples of different classes of property are residential, commercial, industrial and vacant real property.</w:t>
      </w:r>
    </w:p>
    <w:p w:rsidR="005D11F4" w:rsidRPr="005D11F4" w:rsidRDefault="005D11F4" w:rsidP="005D11F4">
      <w:pPr>
        <w:spacing w:after="300" w:line="240" w:lineRule="auto"/>
        <w:jc w:val="center"/>
        <w:textAlignment w:val="baseline"/>
        <w:outlineLvl w:val="2"/>
        <w:rPr>
          <w:rFonts w:ascii="Roboto-Regular" w:eastAsia="Times New Roman" w:hAnsi="Roboto-Regular" w:cs="Times New Roman"/>
          <w:color w:val="20394F"/>
          <w:sz w:val="30"/>
          <w:szCs w:val="30"/>
        </w:rPr>
      </w:pPr>
      <w:r w:rsidRPr="005D11F4">
        <w:rPr>
          <w:rFonts w:ascii="Roboto-Regular" w:eastAsia="Times New Roman" w:hAnsi="Roboto-Regular" w:cs="Times New Roman"/>
          <w:color w:val="20394F"/>
          <w:sz w:val="30"/>
          <w:szCs w:val="30"/>
        </w:rPr>
        <w:t>Real Property Tax Rates</w:t>
      </w:r>
    </w:p>
    <w:tbl>
      <w:tblPr>
        <w:tblW w:w="9817" w:type="dxa"/>
        <w:tblInd w:w="262" w:type="dxa"/>
        <w:tblCellMar>
          <w:left w:w="0" w:type="dxa"/>
          <w:right w:w="0" w:type="dxa"/>
        </w:tblCellMar>
        <w:tblLook w:val="04A0" w:firstRow="1" w:lastRow="0" w:firstColumn="1" w:lastColumn="0" w:noHBand="0" w:noVBand="1"/>
        <w:tblDescription w:val="Real Property Tax Rates"/>
      </w:tblPr>
      <w:tblGrid>
        <w:gridCol w:w="569"/>
        <w:gridCol w:w="2474"/>
        <w:gridCol w:w="6774"/>
      </w:tblGrid>
      <w:tr w:rsidR="005D11F4" w:rsidRPr="005D11F4" w:rsidTr="005D11F4">
        <w:trPr>
          <w:tblHeader/>
        </w:trPr>
        <w:tc>
          <w:tcPr>
            <w:tcW w:w="472"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b/>
                <w:bCs/>
                <w:color w:val="444444"/>
                <w:sz w:val="21"/>
                <w:szCs w:val="21"/>
              </w:rPr>
            </w:pPr>
            <w:r w:rsidRPr="005D11F4">
              <w:rPr>
                <w:rFonts w:ascii="inherit" w:eastAsia="Times New Roman" w:hAnsi="inherit" w:cs="Times New Roman"/>
                <w:b/>
                <w:bCs/>
                <w:color w:val="444444"/>
                <w:sz w:val="21"/>
                <w:szCs w:val="21"/>
              </w:rPr>
              <w:t>Class</w:t>
            </w:r>
          </w:p>
        </w:tc>
        <w:tc>
          <w:tcPr>
            <w:tcW w:w="2498"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b/>
                <w:bCs/>
                <w:color w:val="444444"/>
                <w:sz w:val="21"/>
                <w:szCs w:val="21"/>
              </w:rPr>
            </w:pPr>
            <w:r w:rsidRPr="005D11F4">
              <w:rPr>
                <w:rFonts w:ascii="inherit" w:eastAsia="Times New Roman" w:hAnsi="inherit" w:cs="Times New Roman"/>
                <w:b/>
                <w:bCs/>
                <w:color w:val="444444"/>
                <w:sz w:val="21"/>
                <w:szCs w:val="21"/>
              </w:rPr>
              <w:t>Tax Rate per $100</w:t>
            </w:r>
          </w:p>
        </w:tc>
        <w:tc>
          <w:tcPr>
            <w:tcW w:w="6847"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b/>
                <w:bCs/>
                <w:color w:val="444444"/>
                <w:sz w:val="21"/>
                <w:szCs w:val="21"/>
              </w:rPr>
            </w:pPr>
            <w:r w:rsidRPr="005D11F4">
              <w:rPr>
                <w:rFonts w:ascii="inherit" w:eastAsia="Times New Roman" w:hAnsi="inherit" w:cs="Times New Roman"/>
                <w:b/>
                <w:bCs/>
                <w:color w:val="444444"/>
                <w:sz w:val="21"/>
                <w:szCs w:val="21"/>
              </w:rPr>
              <w:t>Description</w:t>
            </w:r>
          </w:p>
        </w:tc>
      </w:tr>
      <w:tr w:rsidR="005D11F4" w:rsidRPr="005D11F4" w:rsidTr="005D11F4">
        <w:tc>
          <w:tcPr>
            <w:tcW w:w="472"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1</w:t>
            </w:r>
          </w:p>
        </w:tc>
        <w:tc>
          <w:tcPr>
            <w:tcW w:w="2498"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$0.85</w:t>
            </w:r>
          </w:p>
        </w:tc>
        <w:tc>
          <w:tcPr>
            <w:tcW w:w="6847"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Residential real property, including multifamily </w:t>
            </w:r>
          </w:p>
        </w:tc>
      </w:tr>
      <w:tr w:rsidR="005D11F4" w:rsidRPr="005D11F4" w:rsidTr="005D11F4">
        <w:tc>
          <w:tcPr>
            <w:tcW w:w="472"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2</w:t>
            </w:r>
          </w:p>
        </w:tc>
        <w:tc>
          <w:tcPr>
            <w:tcW w:w="2498"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$1.65</w:t>
            </w:r>
          </w:p>
        </w:tc>
        <w:tc>
          <w:tcPr>
            <w:tcW w:w="6847"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Commercial and industrial real property, including hotels and motels, for the first $3 million of assessed value</w:t>
            </w:r>
          </w:p>
        </w:tc>
      </w:tr>
      <w:tr w:rsidR="005D11F4" w:rsidRPr="005D11F4" w:rsidTr="005D11F4">
        <w:tc>
          <w:tcPr>
            <w:tcW w:w="472"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 </w:t>
            </w:r>
          </w:p>
        </w:tc>
        <w:tc>
          <w:tcPr>
            <w:tcW w:w="2498"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$1.85</w:t>
            </w:r>
          </w:p>
        </w:tc>
        <w:tc>
          <w:tcPr>
            <w:tcW w:w="6847"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Commercial and industrial real property, including hotels and motels, for assessed value more than $3 million</w:t>
            </w:r>
          </w:p>
        </w:tc>
      </w:tr>
      <w:tr w:rsidR="005D11F4" w:rsidRPr="005D11F4" w:rsidTr="005D11F4">
        <w:tc>
          <w:tcPr>
            <w:tcW w:w="472"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3</w:t>
            </w:r>
          </w:p>
        </w:tc>
        <w:tc>
          <w:tcPr>
            <w:tcW w:w="2498"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$5.00</w:t>
            </w:r>
          </w:p>
        </w:tc>
        <w:tc>
          <w:tcPr>
            <w:tcW w:w="6847"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Vacant real property</w:t>
            </w:r>
          </w:p>
        </w:tc>
      </w:tr>
      <w:tr w:rsidR="005D11F4" w:rsidRPr="005D11F4" w:rsidTr="005D11F4">
        <w:tc>
          <w:tcPr>
            <w:tcW w:w="472"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4</w:t>
            </w:r>
          </w:p>
        </w:tc>
        <w:tc>
          <w:tcPr>
            <w:tcW w:w="2498"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$10.00</w:t>
            </w:r>
          </w:p>
        </w:tc>
        <w:tc>
          <w:tcPr>
            <w:tcW w:w="6847" w:type="dxa"/>
            <w:tcBorders>
              <w:top w:val="single" w:sz="6" w:space="0" w:color="898989"/>
              <w:left w:val="single" w:sz="6" w:space="0" w:color="898989"/>
              <w:bottom w:val="single" w:sz="6" w:space="0" w:color="898989"/>
              <w:right w:val="single" w:sz="6" w:space="0" w:color="898989"/>
            </w:tcBorders>
            <w:tcMar>
              <w:top w:w="45" w:type="dxa"/>
              <w:left w:w="45" w:type="dxa"/>
              <w:bottom w:w="45" w:type="dxa"/>
              <w:right w:w="45" w:type="dxa"/>
            </w:tcMar>
            <w:vAlign w:val="bottom"/>
            <w:hideMark/>
          </w:tcPr>
          <w:p w:rsidR="005D11F4" w:rsidRPr="005D11F4" w:rsidRDefault="005D11F4" w:rsidP="005D11F4">
            <w:pPr>
              <w:spacing w:after="0" w:line="315" w:lineRule="atLeast"/>
              <w:rPr>
                <w:rFonts w:ascii="inherit" w:eastAsia="Times New Roman" w:hAnsi="inherit" w:cs="Times New Roman"/>
                <w:color w:val="444444"/>
                <w:sz w:val="21"/>
                <w:szCs w:val="21"/>
              </w:rPr>
            </w:pPr>
            <w:r w:rsidRPr="005D11F4">
              <w:rPr>
                <w:rFonts w:ascii="inherit" w:eastAsia="Times New Roman" w:hAnsi="inherit" w:cs="Times New Roman"/>
                <w:color w:val="444444"/>
                <w:sz w:val="21"/>
                <w:szCs w:val="21"/>
              </w:rPr>
              <w:t>Blighted real property</w:t>
            </w:r>
          </w:p>
        </w:tc>
      </w:tr>
    </w:tbl>
    <w:p w:rsidR="004912BC" w:rsidRDefault="005D11F4" w:rsidP="004912BC">
      <w:pPr>
        <w:spacing w:after="300" w:line="315" w:lineRule="atLeast"/>
        <w:textAlignment w:val="baseline"/>
        <w:rPr>
          <w:rFonts w:ascii="Roboto-Regular" w:eastAsia="Times New Roman" w:hAnsi="Roboto-Regular" w:cs="Times New Roman"/>
          <w:color w:val="444444"/>
          <w:sz w:val="21"/>
          <w:szCs w:val="21"/>
        </w:rPr>
      </w:pPr>
      <w:r w:rsidRPr="005D11F4">
        <w:rPr>
          <w:rFonts w:ascii="Roboto-Regular" w:eastAsia="Times New Roman" w:hAnsi="Roboto-Regular" w:cs="Times New Roman"/>
          <w:color w:val="444444"/>
          <w:sz w:val="21"/>
          <w:szCs w:val="21"/>
        </w:rPr>
        <w:t> </w:t>
      </w:r>
    </w:p>
    <w:p w:rsidR="004912BC" w:rsidRPr="004912BC" w:rsidRDefault="004912BC" w:rsidP="004912BC">
      <w:pPr>
        <w:spacing w:after="300" w:line="315" w:lineRule="atLeast"/>
        <w:textAlignment w:val="baseline"/>
        <w:rPr>
          <w:rFonts w:ascii="Roboto-Regular" w:eastAsia="Times New Roman" w:hAnsi="Roboto-Regular" w:cs="Times New Roman"/>
          <w:color w:val="444444"/>
          <w:sz w:val="21"/>
          <w:szCs w:val="21"/>
        </w:rPr>
      </w:pPr>
      <w:r w:rsidRPr="004912BC">
        <w:rPr>
          <w:rFonts w:ascii="Roboto-Regular" w:eastAsia="Times New Roman" w:hAnsi="Roboto-Regular" w:cs="Times New Roman"/>
          <w:color w:val="444444"/>
          <w:sz w:val="21"/>
          <w:szCs w:val="21"/>
        </w:rPr>
        <w:t>Assessors in Massachusetts must assign all real propert</w:t>
      </w:r>
      <w:r>
        <w:rPr>
          <w:rFonts w:ascii="Roboto-Regular" w:eastAsia="Times New Roman" w:hAnsi="Roboto-Regular" w:cs="Times New Roman"/>
          <w:color w:val="444444"/>
          <w:sz w:val="21"/>
          <w:szCs w:val="21"/>
        </w:rPr>
        <w:t xml:space="preserve">y in the city or town according </w:t>
      </w:r>
      <w:r w:rsidRPr="004912BC">
        <w:rPr>
          <w:rFonts w:ascii="Roboto-Regular" w:eastAsia="Times New Roman" w:hAnsi="Roboto-Regular" w:cs="Times New Roman"/>
          <w:color w:val="444444"/>
          <w:sz w:val="21"/>
          <w:szCs w:val="21"/>
        </w:rPr>
        <w:t>to its use: residential, open space, commercial, o</w:t>
      </w:r>
      <w:r>
        <w:rPr>
          <w:rFonts w:ascii="Roboto-Regular" w:eastAsia="Times New Roman" w:hAnsi="Roboto-Regular" w:cs="Times New Roman"/>
          <w:color w:val="444444"/>
          <w:sz w:val="21"/>
          <w:szCs w:val="21"/>
        </w:rPr>
        <w:t xml:space="preserve">r industrial. Personal Property </w:t>
      </w:r>
      <w:r w:rsidRPr="004912BC">
        <w:rPr>
          <w:rFonts w:ascii="Roboto-Regular" w:eastAsia="Times New Roman" w:hAnsi="Roboto-Regular" w:cs="Times New Roman"/>
          <w:color w:val="444444"/>
          <w:sz w:val="21"/>
          <w:szCs w:val="21"/>
        </w:rPr>
        <w:t>constitutes a separate class and is t</w:t>
      </w:r>
      <w:r>
        <w:rPr>
          <w:rFonts w:ascii="Roboto-Regular" w:eastAsia="Times New Roman" w:hAnsi="Roboto-Regular" w:cs="Times New Roman"/>
          <w:color w:val="444444"/>
          <w:sz w:val="21"/>
          <w:szCs w:val="21"/>
        </w:rPr>
        <w:t xml:space="preserve">axed under the commercial rate. </w:t>
      </w:r>
      <w:r w:rsidRPr="004912BC">
        <w:rPr>
          <w:rFonts w:ascii="Roboto-Regular" w:eastAsia="Times New Roman" w:hAnsi="Roboto-Regular" w:cs="Times New Roman"/>
          <w:color w:val="444444"/>
          <w:sz w:val="21"/>
          <w:szCs w:val="21"/>
        </w:rPr>
        <w:t>Each parcel must always be assessed at full and fair cash value.</w:t>
      </w:r>
    </w:p>
    <w:p w:rsidR="004912BC" w:rsidRPr="004912BC" w:rsidRDefault="004912BC" w:rsidP="004912BC">
      <w:pPr>
        <w:spacing w:after="300" w:line="315" w:lineRule="atLeast"/>
        <w:textAlignment w:val="baseline"/>
        <w:rPr>
          <w:rFonts w:ascii="Roboto-Regular" w:eastAsia="Times New Roman" w:hAnsi="Roboto-Regular" w:cs="Times New Roman"/>
          <w:b/>
          <w:color w:val="444444"/>
          <w:sz w:val="21"/>
          <w:szCs w:val="21"/>
        </w:rPr>
      </w:pPr>
      <w:r w:rsidRPr="004912BC">
        <w:rPr>
          <w:rFonts w:ascii="Roboto-Regular" w:eastAsia="Times New Roman" w:hAnsi="Roboto-Regular" w:cs="Times New Roman"/>
          <w:b/>
          <w:color w:val="444444"/>
          <w:sz w:val="21"/>
          <w:szCs w:val="21"/>
        </w:rPr>
        <w:t>Class One - Residential</w:t>
      </w:r>
    </w:p>
    <w:p w:rsidR="004912BC" w:rsidRPr="004912BC" w:rsidRDefault="004912BC" w:rsidP="004912BC">
      <w:pPr>
        <w:spacing w:after="300" w:line="315" w:lineRule="atLeast"/>
        <w:textAlignment w:val="baseline"/>
        <w:rPr>
          <w:rFonts w:ascii="Roboto-Regular" w:eastAsia="Times New Roman" w:hAnsi="Roboto-Regular" w:cs="Times New Roman"/>
          <w:color w:val="444444"/>
          <w:sz w:val="21"/>
          <w:szCs w:val="21"/>
        </w:rPr>
      </w:pPr>
      <w:r w:rsidRPr="004912BC">
        <w:rPr>
          <w:rFonts w:ascii="Roboto-Regular" w:eastAsia="Times New Roman" w:hAnsi="Roboto-Regular" w:cs="Times New Roman"/>
          <w:color w:val="444444"/>
          <w:sz w:val="21"/>
          <w:szCs w:val="21"/>
        </w:rPr>
        <w:t xml:space="preserve">Includes all property containing one or more units </w:t>
      </w:r>
      <w:r>
        <w:rPr>
          <w:rFonts w:ascii="Roboto-Regular" w:eastAsia="Times New Roman" w:hAnsi="Roboto-Regular" w:cs="Times New Roman"/>
          <w:color w:val="444444"/>
          <w:sz w:val="21"/>
          <w:szCs w:val="21"/>
        </w:rPr>
        <w:t xml:space="preserve">for human habitation. The class </w:t>
      </w:r>
      <w:r w:rsidRPr="004912BC">
        <w:rPr>
          <w:rFonts w:ascii="Roboto-Regular" w:eastAsia="Times New Roman" w:hAnsi="Roboto-Regular" w:cs="Times New Roman"/>
          <w:color w:val="444444"/>
          <w:sz w:val="21"/>
          <w:szCs w:val="21"/>
        </w:rPr>
        <w:t>includes accessory land and buildings such as swimmin</w:t>
      </w:r>
      <w:r>
        <w:rPr>
          <w:rFonts w:ascii="Roboto-Regular" w:eastAsia="Times New Roman" w:hAnsi="Roboto-Regular" w:cs="Times New Roman"/>
          <w:color w:val="444444"/>
          <w:sz w:val="21"/>
          <w:szCs w:val="21"/>
        </w:rPr>
        <w:t xml:space="preserve">g pools, tennis courts, garages </w:t>
      </w:r>
      <w:r w:rsidRPr="004912BC">
        <w:rPr>
          <w:rFonts w:ascii="Roboto-Regular" w:eastAsia="Times New Roman" w:hAnsi="Roboto-Regular" w:cs="Times New Roman"/>
          <w:color w:val="444444"/>
          <w:sz w:val="21"/>
          <w:szCs w:val="21"/>
        </w:rPr>
        <w:t>and sheds. Single-family homes are in this class, as are large apartment buildings.</w:t>
      </w:r>
    </w:p>
    <w:p w:rsidR="004912BC" w:rsidRPr="004912BC" w:rsidRDefault="004912BC" w:rsidP="004912BC">
      <w:pPr>
        <w:spacing w:after="300" w:line="315" w:lineRule="atLeast"/>
        <w:textAlignment w:val="baseline"/>
        <w:rPr>
          <w:rFonts w:ascii="Roboto-Regular" w:eastAsia="Times New Roman" w:hAnsi="Roboto-Regular" w:cs="Times New Roman"/>
          <w:b/>
          <w:color w:val="444444"/>
          <w:sz w:val="21"/>
          <w:szCs w:val="21"/>
        </w:rPr>
      </w:pPr>
      <w:r w:rsidRPr="004912BC">
        <w:rPr>
          <w:rFonts w:ascii="Roboto-Regular" w:eastAsia="Times New Roman" w:hAnsi="Roboto-Regular" w:cs="Times New Roman"/>
          <w:b/>
          <w:color w:val="444444"/>
          <w:sz w:val="21"/>
          <w:szCs w:val="21"/>
        </w:rPr>
        <w:t>Class Two - Open Space</w:t>
      </w:r>
    </w:p>
    <w:p w:rsidR="004912BC" w:rsidRPr="004912BC" w:rsidRDefault="004912BC" w:rsidP="004912BC">
      <w:pPr>
        <w:spacing w:after="300" w:line="315" w:lineRule="atLeast"/>
        <w:textAlignment w:val="baseline"/>
        <w:rPr>
          <w:rFonts w:ascii="Roboto-Regular" w:eastAsia="Times New Roman" w:hAnsi="Roboto-Regular" w:cs="Times New Roman"/>
          <w:color w:val="444444"/>
          <w:sz w:val="21"/>
          <w:szCs w:val="21"/>
        </w:rPr>
      </w:pPr>
      <w:r w:rsidRPr="004912BC">
        <w:rPr>
          <w:rFonts w:ascii="Roboto-Regular" w:eastAsia="Times New Roman" w:hAnsi="Roboto-Regular" w:cs="Times New Roman"/>
          <w:color w:val="444444"/>
          <w:sz w:val="21"/>
          <w:szCs w:val="21"/>
        </w:rPr>
        <w:t>Includes land maintained in an open or natural condition, which contributes sig</w:t>
      </w:r>
      <w:r>
        <w:rPr>
          <w:rFonts w:ascii="Roboto-Regular" w:eastAsia="Times New Roman" w:hAnsi="Roboto-Regular" w:cs="Times New Roman"/>
          <w:color w:val="444444"/>
          <w:sz w:val="21"/>
          <w:szCs w:val="21"/>
        </w:rPr>
        <w:t xml:space="preserve">nificantly </w:t>
      </w:r>
      <w:r w:rsidRPr="004912BC">
        <w:rPr>
          <w:rFonts w:ascii="Roboto-Regular" w:eastAsia="Times New Roman" w:hAnsi="Roboto-Regular" w:cs="Times New Roman"/>
          <w:color w:val="444444"/>
          <w:sz w:val="21"/>
          <w:szCs w:val="21"/>
        </w:rPr>
        <w:t>to the benefit and enjoyment of the public. Such land ca</w:t>
      </w:r>
      <w:r>
        <w:rPr>
          <w:rFonts w:ascii="Roboto-Regular" w:eastAsia="Times New Roman" w:hAnsi="Roboto-Regular" w:cs="Times New Roman"/>
          <w:color w:val="444444"/>
          <w:sz w:val="21"/>
          <w:szCs w:val="21"/>
        </w:rPr>
        <w:t xml:space="preserve">nnot be held for the production </w:t>
      </w:r>
      <w:r w:rsidRPr="004912BC">
        <w:rPr>
          <w:rFonts w:ascii="Roboto-Regular" w:eastAsia="Times New Roman" w:hAnsi="Roboto-Regular" w:cs="Times New Roman"/>
          <w:color w:val="444444"/>
          <w:sz w:val="21"/>
          <w:szCs w:val="21"/>
        </w:rPr>
        <w:t>of income and may be required to meet additional qualif</w:t>
      </w:r>
      <w:r>
        <w:rPr>
          <w:rFonts w:ascii="Roboto-Regular" w:eastAsia="Times New Roman" w:hAnsi="Roboto-Regular" w:cs="Times New Roman"/>
          <w:color w:val="444444"/>
          <w:sz w:val="21"/>
          <w:szCs w:val="21"/>
        </w:rPr>
        <w:t xml:space="preserve">ying factors established by the </w:t>
      </w:r>
      <w:r w:rsidRPr="004912BC">
        <w:rPr>
          <w:rFonts w:ascii="Roboto-Regular" w:eastAsia="Times New Roman" w:hAnsi="Roboto-Regular" w:cs="Times New Roman"/>
          <w:color w:val="444444"/>
          <w:sz w:val="21"/>
          <w:szCs w:val="21"/>
        </w:rPr>
        <w:t>Board of Assessors.</w:t>
      </w:r>
    </w:p>
    <w:p w:rsidR="004912BC" w:rsidRPr="004912BC" w:rsidRDefault="004912BC" w:rsidP="004912BC">
      <w:pPr>
        <w:spacing w:after="300" w:line="315" w:lineRule="atLeast"/>
        <w:textAlignment w:val="baseline"/>
        <w:rPr>
          <w:rFonts w:ascii="Roboto-Regular" w:eastAsia="Times New Roman" w:hAnsi="Roboto-Regular" w:cs="Times New Roman"/>
          <w:b/>
          <w:color w:val="444444"/>
          <w:sz w:val="21"/>
          <w:szCs w:val="21"/>
        </w:rPr>
      </w:pPr>
      <w:r w:rsidRPr="004912BC">
        <w:rPr>
          <w:rFonts w:ascii="Roboto-Regular" w:eastAsia="Times New Roman" w:hAnsi="Roboto-Regular" w:cs="Times New Roman"/>
          <w:b/>
          <w:color w:val="444444"/>
          <w:sz w:val="21"/>
          <w:szCs w:val="21"/>
        </w:rPr>
        <w:t>Class Three - Commercial</w:t>
      </w:r>
    </w:p>
    <w:p w:rsidR="004912BC" w:rsidRPr="004912BC" w:rsidRDefault="004912BC" w:rsidP="004912BC">
      <w:pPr>
        <w:spacing w:after="300" w:line="315" w:lineRule="atLeast"/>
        <w:textAlignment w:val="baseline"/>
        <w:rPr>
          <w:rFonts w:ascii="Roboto-Regular" w:eastAsia="Times New Roman" w:hAnsi="Roboto-Regular" w:cs="Times New Roman"/>
          <w:color w:val="444444"/>
          <w:sz w:val="21"/>
          <w:szCs w:val="21"/>
        </w:rPr>
      </w:pPr>
      <w:r w:rsidRPr="004912BC">
        <w:rPr>
          <w:rFonts w:ascii="Roboto-Regular" w:eastAsia="Times New Roman" w:hAnsi="Roboto-Regular" w:cs="Times New Roman"/>
          <w:color w:val="444444"/>
          <w:sz w:val="21"/>
          <w:szCs w:val="21"/>
        </w:rPr>
        <w:lastRenderedPageBreak/>
        <w:t>Includes any property held for the purpose of conduc</w:t>
      </w:r>
      <w:r>
        <w:rPr>
          <w:rFonts w:ascii="Roboto-Regular" w:eastAsia="Times New Roman" w:hAnsi="Roboto-Regular" w:cs="Times New Roman"/>
          <w:color w:val="444444"/>
          <w:sz w:val="21"/>
          <w:szCs w:val="21"/>
        </w:rPr>
        <w:t xml:space="preserve">ting a business, such as office </w:t>
      </w:r>
      <w:r w:rsidRPr="004912BC">
        <w:rPr>
          <w:rFonts w:ascii="Roboto-Regular" w:eastAsia="Times New Roman" w:hAnsi="Roboto-Regular" w:cs="Times New Roman"/>
          <w:color w:val="444444"/>
          <w:sz w:val="21"/>
          <w:szCs w:val="21"/>
        </w:rPr>
        <w:t>buildings, retail stores, etc. Personal Property, also, f</w:t>
      </w:r>
      <w:r>
        <w:rPr>
          <w:rFonts w:ascii="Roboto-Regular" w:eastAsia="Times New Roman" w:hAnsi="Roboto-Regular" w:cs="Times New Roman"/>
          <w:color w:val="444444"/>
          <w:sz w:val="21"/>
          <w:szCs w:val="21"/>
        </w:rPr>
        <w:t xml:space="preserve">alls within the category of the </w:t>
      </w:r>
      <w:r w:rsidRPr="004912BC">
        <w:rPr>
          <w:rFonts w:ascii="Roboto-Regular" w:eastAsia="Times New Roman" w:hAnsi="Roboto-Regular" w:cs="Times New Roman"/>
          <w:color w:val="444444"/>
          <w:sz w:val="21"/>
          <w:szCs w:val="21"/>
        </w:rPr>
        <w:t>Commercial class.</w:t>
      </w:r>
    </w:p>
    <w:p w:rsidR="004912BC" w:rsidRPr="004912BC" w:rsidRDefault="004912BC" w:rsidP="004912BC">
      <w:pPr>
        <w:spacing w:after="300" w:line="315" w:lineRule="atLeast"/>
        <w:textAlignment w:val="baseline"/>
        <w:rPr>
          <w:rFonts w:ascii="Roboto-Regular" w:eastAsia="Times New Roman" w:hAnsi="Roboto-Regular" w:cs="Times New Roman"/>
          <w:b/>
          <w:color w:val="444444"/>
          <w:sz w:val="21"/>
          <w:szCs w:val="21"/>
        </w:rPr>
      </w:pPr>
      <w:r w:rsidRPr="004912BC">
        <w:rPr>
          <w:rFonts w:ascii="Roboto-Regular" w:eastAsia="Times New Roman" w:hAnsi="Roboto-Regular" w:cs="Times New Roman"/>
          <w:b/>
          <w:color w:val="444444"/>
          <w:sz w:val="21"/>
          <w:szCs w:val="21"/>
        </w:rPr>
        <w:t>Class Four - Industrial</w:t>
      </w:r>
    </w:p>
    <w:p w:rsidR="005D11F4" w:rsidRDefault="004912BC" w:rsidP="004912BC">
      <w:pPr>
        <w:spacing w:after="300" w:line="315" w:lineRule="atLeast"/>
        <w:textAlignment w:val="baseline"/>
        <w:rPr>
          <w:rFonts w:ascii="Roboto-Regular" w:eastAsia="Times New Roman" w:hAnsi="Roboto-Regular" w:cs="Times New Roman"/>
          <w:color w:val="444444"/>
          <w:sz w:val="21"/>
          <w:szCs w:val="21"/>
        </w:rPr>
      </w:pPr>
      <w:r w:rsidRPr="004912BC">
        <w:rPr>
          <w:rFonts w:ascii="Roboto-Regular" w:eastAsia="Times New Roman" w:hAnsi="Roboto-Regular" w:cs="Times New Roman"/>
          <w:color w:val="444444"/>
          <w:sz w:val="21"/>
          <w:szCs w:val="21"/>
        </w:rPr>
        <w:t xml:space="preserve">Includes any property involved in manufacturing or processing. It </w:t>
      </w:r>
      <w:r>
        <w:rPr>
          <w:rFonts w:ascii="Roboto-Regular" w:eastAsia="Times New Roman" w:hAnsi="Roboto-Regular" w:cs="Times New Roman"/>
          <w:color w:val="444444"/>
          <w:sz w:val="21"/>
          <w:szCs w:val="21"/>
        </w:rPr>
        <w:t xml:space="preserve">also includes real </w:t>
      </w:r>
      <w:r w:rsidRPr="004912BC">
        <w:rPr>
          <w:rFonts w:ascii="Roboto-Regular" w:eastAsia="Times New Roman" w:hAnsi="Roboto-Regular" w:cs="Times New Roman"/>
          <w:color w:val="444444"/>
          <w:sz w:val="21"/>
          <w:szCs w:val="21"/>
        </w:rPr>
        <w:t>property used for storage, transmission, and generatio</w:t>
      </w:r>
      <w:r>
        <w:rPr>
          <w:rFonts w:ascii="Roboto-Regular" w:eastAsia="Times New Roman" w:hAnsi="Roboto-Regular" w:cs="Times New Roman"/>
          <w:color w:val="444444"/>
          <w:sz w:val="21"/>
          <w:szCs w:val="21"/>
        </w:rPr>
        <w:t xml:space="preserve">n of utilities regulated by the </w:t>
      </w:r>
      <w:bookmarkStart w:id="0" w:name="_GoBack"/>
      <w:bookmarkEnd w:id="0"/>
      <w:r w:rsidRPr="004912BC">
        <w:rPr>
          <w:rFonts w:ascii="Roboto-Regular" w:eastAsia="Times New Roman" w:hAnsi="Roboto-Regular" w:cs="Times New Roman"/>
          <w:color w:val="444444"/>
          <w:sz w:val="21"/>
          <w:szCs w:val="21"/>
        </w:rPr>
        <w:t>Department of Public Utilities.</w:t>
      </w:r>
    </w:p>
    <w:p w:rsidR="008040E0" w:rsidRDefault="008040E0" w:rsidP="008040E0">
      <w:pPr>
        <w:pStyle w:val="p1"/>
        <w:shd w:val="clear" w:color="auto" w:fill="EEF2EB"/>
        <w:spacing w:before="0" w:beforeAutospacing="0" w:after="240" w:afterAutospacing="0" w:line="312" w:lineRule="atLeast"/>
        <w:textAlignment w:val="baseline"/>
        <w:rPr>
          <w:rFonts w:ascii="Arial" w:hAnsi="Arial" w:cs="Arial"/>
          <w:color w:val="000000"/>
          <w:sz w:val="20"/>
          <w:szCs w:val="20"/>
        </w:rPr>
      </w:pPr>
      <w:r>
        <w:rPr>
          <w:rFonts w:ascii="Arial" w:hAnsi="Arial" w:cs="Arial"/>
          <w:color w:val="000000"/>
          <w:sz w:val="20"/>
          <w:szCs w:val="20"/>
        </w:rPr>
        <w:t xml:space="preserve">Any property in an industrial or commercial zoning district or used as industrial or commercial </w:t>
      </w:r>
      <w:proofErr w:type="gramStart"/>
      <w:r>
        <w:rPr>
          <w:rFonts w:ascii="Arial" w:hAnsi="Arial" w:cs="Arial"/>
          <w:color w:val="000000"/>
          <w:sz w:val="20"/>
          <w:szCs w:val="20"/>
        </w:rPr>
        <w:t>property</w:t>
      </w:r>
      <w:proofErr w:type="gramEnd"/>
      <w:r>
        <w:rPr>
          <w:rFonts w:ascii="Arial" w:hAnsi="Arial" w:cs="Arial"/>
          <w:color w:val="000000"/>
          <w:sz w:val="20"/>
          <w:szCs w:val="20"/>
        </w:rPr>
        <w:t xml:space="preserve"> on which there exists any one or more of the following conditions or activities is a blighted property for the purposes of this chapter:</w:t>
      </w:r>
    </w:p>
    <w:p w:rsidR="008040E0" w:rsidRDefault="008040E0" w:rsidP="008040E0">
      <w:pPr>
        <w:pStyle w:val="p1"/>
        <w:shd w:val="clear" w:color="auto" w:fill="EEF2EB"/>
        <w:spacing w:before="0" w:beforeAutospacing="0" w:after="240" w:afterAutospacing="0" w:line="312" w:lineRule="atLeast"/>
        <w:textAlignment w:val="baseline"/>
        <w:rPr>
          <w:rFonts w:ascii="Arial" w:hAnsi="Arial" w:cs="Arial"/>
          <w:color w:val="000000"/>
          <w:sz w:val="20"/>
          <w:szCs w:val="20"/>
        </w:rPr>
      </w:pPr>
      <w:r>
        <w:rPr>
          <w:rFonts w:ascii="Arial" w:hAnsi="Arial" w:cs="Arial"/>
          <w:color w:val="000000"/>
          <w:sz w:val="20"/>
          <w:szCs w:val="20"/>
        </w:rPr>
        <w:t>(a) Abandoned Building or Structure.</w:t>
      </w:r>
    </w:p>
    <w:p w:rsidR="008040E0" w:rsidRDefault="008040E0" w:rsidP="008040E0">
      <w:pPr>
        <w:pStyle w:val="p1"/>
        <w:shd w:val="clear" w:color="auto" w:fill="EEF2EB"/>
        <w:spacing w:before="0" w:beforeAutospacing="0" w:after="240" w:afterAutospacing="0" w:line="312" w:lineRule="atLeast"/>
        <w:textAlignment w:val="baseline"/>
        <w:rPr>
          <w:rFonts w:ascii="Arial" w:hAnsi="Arial" w:cs="Arial"/>
          <w:color w:val="000000"/>
          <w:sz w:val="20"/>
          <w:szCs w:val="20"/>
        </w:rPr>
      </w:pPr>
      <w:r>
        <w:rPr>
          <w:rFonts w:ascii="Arial" w:hAnsi="Arial" w:cs="Arial"/>
          <w:color w:val="000000"/>
          <w:sz w:val="20"/>
          <w:szCs w:val="20"/>
        </w:rPr>
        <w:t>(b) Attractive Nuisance. Property which is in an unsecured state so as to potentially constitute an attraction to children, a harbor for vagrants, criminals or other unauthorized persons, or so as to enable persons to resort thereto for the purpose of committing a nuisance or unlawful act.</w:t>
      </w:r>
    </w:p>
    <w:p w:rsidR="008040E0" w:rsidRDefault="008040E0" w:rsidP="008040E0">
      <w:pPr>
        <w:pStyle w:val="p1"/>
        <w:shd w:val="clear" w:color="auto" w:fill="EEF2EB"/>
        <w:spacing w:before="0" w:beforeAutospacing="0" w:after="240" w:afterAutospacing="0" w:line="312" w:lineRule="atLeast"/>
        <w:textAlignment w:val="baseline"/>
        <w:rPr>
          <w:rFonts w:ascii="Arial" w:hAnsi="Arial" w:cs="Arial"/>
          <w:color w:val="000000"/>
          <w:sz w:val="20"/>
          <w:szCs w:val="20"/>
        </w:rPr>
      </w:pPr>
      <w:r>
        <w:rPr>
          <w:rFonts w:ascii="Arial" w:hAnsi="Arial" w:cs="Arial"/>
          <w:color w:val="000000"/>
          <w:sz w:val="20"/>
          <w:szCs w:val="20"/>
        </w:rPr>
        <w:t>(c) A building or structure which is in a state of disrepair:</w:t>
      </w:r>
    </w:p>
    <w:p w:rsidR="008040E0" w:rsidRPr="005D11F4" w:rsidRDefault="008040E0" w:rsidP="005D11F4">
      <w:pPr>
        <w:spacing w:after="300" w:line="315" w:lineRule="atLeast"/>
        <w:textAlignment w:val="baseline"/>
        <w:rPr>
          <w:rFonts w:ascii="Roboto-Regular" w:eastAsia="Times New Roman" w:hAnsi="Roboto-Regular" w:cs="Times New Roman"/>
          <w:color w:val="444444"/>
          <w:sz w:val="21"/>
          <w:szCs w:val="21"/>
        </w:rPr>
      </w:pPr>
      <w:r>
        <w:rPr>
          <w:rFonts w:ascii="Arial" w:hAnsi="Arial" w:cs="Arial"/>
          <w:color w:val="000000"/>
          <w:sz w:val="20"/>
          <w:szCs w:val="20"/>
          <w:shd w:val="clear" w:color="auto" w:fill="EEF2EB"/>
        </w:rPr>
        <w:t>(d) Property Inadequately Maintained.</w:t>
      </w:r>
    </w:p>
    <w:p w:rsidR="005D11F4" w:rsidRDefault="005D11F4"/>
    <w:sectPr w:rsidR="005D1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F4"/>
    <w:rsid w:val="0009246E"/>
    <w:rsid w:val="004912BC"/>
    <w:rsid w:val="005D11F4"/>
    <w:rsid w:val="0080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D4E8-643E-4364-A05A-E985A077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11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11F4"/>
  </w:style>
  <w:style w:type="character" w:styleId="Hyperlink">
    <w:name w:val="Hyperlink"/>
    <w:basedOn w:val="DefaultParagraphFont"/>
    <w:uiPriority w:val="99"/>
    <w:semiHidden/>
    <w:unhideWhenUsed/>
    <w:rsid w:val="005D11F4"/>
    <w:rPr>
      <w:color w:val="0000FF"/>
      <w:u w:val="single"/>
    </w:rPr>
  </w:style>
  <w:style w:type="character" w:customStyle="1" w:styleId="Heading3Char">
    <w:name w:val="Heading 3 Char"/>
    <w:basedOn w:val="DefaultParagraphFont"/>
    <w:link w:val="Heading3"/>
    <w:uiPriority w:val="9"/>
    <w:rsid w:val="005D11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11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804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1954">
      <w:bodyDiv w:val="1"/>
      <w:marLeft w:val="0"/>
      <w:marRight w:val="0"/>
      <w:marTop w:val="0"/>
      <w:marBottom w:val="0"/>
      <w:divBdr>
        <w:top w:val="none" w:sz="0" w:space="0" w:color="auto"/>
        <w:left w:val="none" w:sz="0" w:space="0" w:color="auto"/>
        <w:bottom w:val="none" w:sz="0" w:space="0" w:color="auto"/>
        <w:right w:val="none" w:sz="0" w:space="0" w:color="auto"/>
      </w:divBdr>
    </w:div>
    <w:div w:id="204024922">
      <w:bodyDiv w:val="1"/>
      <w:marLeft w:val="0"/>
      <w:marRight w:val="0"/>
      <w:marTop w:val="0"/>
      <w:marBottom w:val="0"/>
      <w:divBdr>
        <w:top w:val="none" w:sz="0" w:space="0" w:color="auto"/>
        <w:left w:val="none" w:sz="0" w:space="0" w:color="auto"/>
        <w:bottom w:val="none" w:sz="0" w:space="0" w:color="auto"/>
        <w:right w:val="none" w:sz="0" w:space="0" w:color="auto"/>
      </w:divBdr>
    </w:div>
    <w:div w:id="173566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al_estate_appraisal" TargetMode="External"/><Relationship Id="rId5" Type="http://schemas.openxmlformats.org/officeDocument/2006/relationships/hyperlink" Target="https://en.wikipedia.org/wiki/Real_property" TargetMode="External"/><Relationship Id="rId4" Type="http://schemas.openxmlformats.org/officeDocument/2006/relationships/hyperlink" Target="https://en.wikipedia.org/wiki/Intangible_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Sun</dc:creator>
  <cp:keywords/>
  <dc:description/>
  <cp:lastModifiedBy>Yu Sun</cp:lastModifiedBy>
  <cp:revision>3</cp:revision>
  <dcterms:created xsi:type="dcterms:W3CDTF">2015-12-16T15:40:00Z</dcterms:created>
  <dcterms:modified xsi:type="dcterms:W3CDTF">2015-12-16T16:00:00Z</dcterms:modified>
</cp:coreProperties>
</file>