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3B" w:rsidRDefault="0073073B" w:rsidP="0073073B"/>
    <w:p w:rsidR="0073073B" w:rsidRDefault="0073073B" w:rsidP="0073073B">
      <w:pPr>
        <w:rPr>
          <w:rFonts w:ascii="Arial" w:hAnsi="Arial" w:cs="Arial"/>
          <w:color w:val="000000"/>
          <w:sz w:val="20"/>
          <w:szCs w:val="20"/>
        </w:rPr>
      </w:pPr>
      <w:bookmarkStart w:id="0" w:name="_GoBack"/>
      <w:bookmarkEnd w:id="0"/>
      <w:r>
        <w:t>The CPI-U data set is officially titled “Consumer Price Index - All Urban Consumers” by the BLS and can be accessed using the series ID “</w:t>
      </w:r>
      <w:r>
        <w:rPr>
          <w:rFonts w:ascii="Arial" w:hAnsi="Arial" w:cs="Arial"/>
          <w:color w:val="000000"/>
          <w:sz w:val="20"/>
          <w:szCs w:val="20"/>
        </w:rPr>
        <w:t xml:space="preserve">CUUR0000SA0”. </w:t>
      </w:r>
    </w:p>
    <w:p w:rsidR="0073073B" w:rsidRDefault="0073073B" w:rsidP="0073073B">
      <w:pPr>
        <w:rPr>
          <w:rFonts w:ascii="Arial" w:hAnsi="Arial" w:cs="Arial"/>
          <w:color w:val="000000"/>
          <w:sz w:val="20"/>
          <w:szCs w:val="20"/>
        </w:rPr>
      </w:pPr>
    </w:p>
    <w:p w:rsidR="0073073B" w:rsidRDefault="0073073B" w:rsidP="0073073B">
      <w:pPr>
        <w:rPr>
          <w:b/>
          <w:bCs/>
        </w:rPr>
      </w:pPr>
      <w:r>
        <w:rPr>
          <w:rFonts w:ascii="Arial" w:hAnsi="Arial" w:cs="Arial"/>
          <w:color w:val="000000"/>
          <w:sz w:val="20"/>
          <w:szCs w:val="20"/>
        </w:rPr>
        <w:t>When the data are downloaded, these criteria are included in the output and should match what you see here:</w:t>
      </w:r>
    </w:p>
    <w:tbl>
      <w:tblPr>
        <w:tblW w:w="7443" w:type="dxa"/>
        <w:tblInd w:w="-15" w:type="dxa"/>
        <w:tblCellMar>
          <w:left w:w="0" w:type="dxa"/>
          <w:right w:w="0" w:type="dxa"/>
        </w:tblCellMar>
        <w:tblLook w:val="04A0" w:firstRow="1" w:lastRow="0" w:firstColumn="1" w:lastColumn="0" w:noHBand="0" w:noVBand="1"/>
      </w:tblPr>
      <w:tblGrid>
        <w:gridCol w:w="2481"/>
        <w:gridCol w:w="4962"/>
      </w:tblGrid>
      <w:tr w:rsidR="0073073B" w:rsidTr="0073073B">
        <w:trPr>
          <w:trHeight w:val="264"/>
        </w:trPr>
        <w:tc>
          <w:tcPr>
            <w:tcW w:w="2481" w:type="dxa"/>
            <w:tcMar>
              <w:top w:w="0" w:type="dxa"/>
              <w:left w:w="108" w:type="dxa"/>
              <w:bottom w:w="0" w:type="dxa"/>
              <w:right w:w="108" w:type="dxa"/>
            </w:tcMar>
            <w:hideMark/>
          </w:tcPr>
          <w:p w:rsidR="0073073B" w:rsidRDefault="0073073B">
            <w:pPr>
              <w:rPr>
                <w:rFonts w:ascii="Arial" w:hAnsi="Arial" w:cs="Arial"/>
                <w:b/>
                <w:bCs/>
                <w:color w:val="000000"/>
                <w:sz w:val="20"/>
                <w:szCs w:val="20"/>
              </w:rPr>
            </w:pPr>
            <w:r>
              <w:rPr>
                <w:rFonts w:ascii="Arial" w:hAnsi="Arial" w:cs="Arial"/>
                <w:b/>
                <w:bCs/>
                <w:color w:val="000000"/>
                <w:sz w:val="20"/>
                <w:szCs w:val="20"/>
              </w:rPr>
              <w:t>Series Id:</w:t>
            </w:r>
          </w:p>
        </w:tc>
        <w:tc>
          <w:tcPr>
            <w:tcW w:w="4962" w:type="dxa"/>
            <w:tcMar>
              <w:top w:w="0" w:type="dxa"/>
              <w:left w:w="108" w:type="dxa"/>
              <w:bottom w:w="0" w:type="dxa"/>
              <w:right w:w="108" w:type="dxa"/>
            </w:tcMar>
            <w:hideMark/>
          </w:tcPr>
          <w:p w:rsidR="0073073B" w:rsidRDefault="0073073B">
            <w:pPr>
              <w:rPr>
                <w:rFonts w:ascii="Arial" w:hAnsi="Arial" w:cs="Arial"/>
                <w:color w:val="000000"/>
                <w:sz w:val="20"/>
                <w:szCs w:val="20"/>
              </w:rPr>
            </w:pPr>
            <w:r>
              <w:rPr>
                <w:rFonts w:ascii="Arial" w:hAnsi="Arial" w:cs="Arial"/>
                <w:color w:val="000000"/>
                <w:sz w:val="20"/>
                <w:szCs w:val="20"/>
              </w:rPr>
              <w:t>CUUR0000SA0</w:t>
            </w:r>
          </w:p>
        </w:tc>
      </w:tr>
      <w:tr w:rsidR="0073073B" w:rsidTr="0073073B">
        <w:trPr>
          <w:trHeight w:val="264"/>
        </w:trPr>
        <w:tc>
          <w:tcPr>
            <w:tcW w:w="7443" w:type="dxa"/>
            <w:gridSpan w:val="2"/>
            <w:tcMar>
              <w:top w:w="0" w:type="dxa"/>
              <w:left w:w="108" w:type="dxa"/>
              <w:bottom w:w="0" w:type="dxa"/>
              <w:right w:w="108" w:type="dxa"/>
            </w:tcMar>
            <w:hideMark/>
          </w:tcPr>
          <w:p w:rsidR="0073073B" w:rsidRDefault="0073073B">
            <w:pPr>
              <w:rPr>
                <w:rFonts w:ascii="Arial" w:hAnsi="Arial" w:cs="Arial"/>
                <w:b/>
                <w:bCs/>
                <w:color w:val="000000"/>
                <w:sz w:val="20"/>
                <w:szCs w:val="20"/>
              </w:rPr>
            </w:pPr>
            <w:r>
              <w:rPr>
                <w:rFonts w:ascii="Arial" w:hAnsi="Arial" w:cs="Arial"/>
                <w:b/>
                <w:bCs/>
                <w:color w:val="000000"/>
                <w:sz w:val="20"/>
                <w:szCs w:val="20"/>
              </w:rPr>
              <w:t>Not Seasonally Adjusted</w:t>
            </w:r>
          </w:p>
        </w:tc>
      </w:tr>
      <w:tr w:rsidR="0073073B" w:rsidTr="0073073B">
        <w:trPr>
          <w:trHeight w:val="264"/>
        </w:trPr>
        <w:tc>
          <w:tcPr>
            <w:tcW w:w="2481" w:type="dxa"/>
            <w:tcMar>
              <w:top w:w="0" w:type="dxa"/>
              <w:left w:w="108" w:type="dxa"/>
              <w:bottom w:w="0" w:type="dxa"/>
              <w:right w:w="108" w:type="dxa"/>
            </w:tcMar>
            <w:hideMark/>
          </w:tcPr>
          <w:p w:rsidR="0073073B" w:rsidRDefault="0073073B">
            <w:pPr>
              <w:rPr>
                <w:rFonts w:ascii="Arial" w:hAnsi="Arial" w:cs="Arial"/>
                <w:b/>
                <w:bCs/>
                <w:color w:val="000000"/>
                <w:sz w:val="20"/>
                <w:szCs w:val="20"/>
              </w:rPr>
            </w:pPr>
            <w:r>
              <w:rPr>
                <w:rFonts w:ascii="Arial" w:hAnsi="Arial" w:cs="Arial"/>
                <w:b/>
                <w:bCs/>
                <w:color w:val="000000"/>
                <w:sz w:val="20"/>
                <w:szCs w:val="20"/>
              </w:rPr>
              <w:t>Area:</w:t>
            </w:r>
          </w:p>
        </w:tc>
        <w:tc>
          <w:tcPr>
            <w:tcW w:w="4962" w:type="dxa"/>
            <w:tcMar>
              <w:top w:w="0" w:type="dxa"/>
              <w:left w:w="108" w:type="dxa"/>
              <w:bottom w:w="0" w:type="dxa"/>
              <w:right w:w="108" w:type="dxa"/>
            </w:tcMar>
            <w:hideMark/>
          </w:tcPr>
          <w:p w:rsidR="0073073B" w:rsidRDefault="0073073B">
            <w:pPr>
              <w:rPr>
                <w:rFonts w:ascii="Arial" w:hAnsi="Arial" w:cs="Arial"/>
                <w:color w:val="000000"/>
                <w:sz w:val="20"/>
                <w:szCs w:val="20"/>
              </w:rPr>
            </w:pPr>
            <w:r>
              <w:rPr>
                <w:rFonts w:ascii="Arial" w:hAnsi="Arial" w:cs="Arial"/>
                <w:color w:val="000000"/>
                <w:sz w:val="20"/>
                <w:szCs w:val="20"/>
              </w:rPr>
              <w:t>U.S. city average</w:t>
            </w:r>
          </w:p>
        </w:tc>
      </w:tr>
      <w:tr w:rsidR="0073073B" w:rsidTr="0073073B">
        <w:trPr>
          <w:trHeight w:val="264"/>
        </w:trPr>
        <w:tc>
          <w:tcPr>
            <w:tcW w:w="2481" w:type="dxa"/>
            <w:tcMar>
              <w:top w:w="0" w:type="dxa"/>
              <w:left w:w="108" w:type="dxa"/>
              <w:bottom w:w="0" w:type="dxa"/>
              <w:right w:w="108" w:type="dxa"/>
            </w:tcMar>
            <w:hideMark/>
          </w:tcPr>
          <w:p w:rsidR="0073073B" w:rsidRDefault="0073073B">
            <w:pPr>
              <w:rPr>
                <w:rFonts w:ascii="Arial" w:hAnsi="Arial" w:cs="Arial"/>
                <w:b/>
                <w:bCs/>
                <w:color w:val="000000"/>
                <w:sz w:val="20"/>
                <w:szCs w:val="20"/>
              </w:rPr>
            </w:pPr>
            <w:r>
              <w:rPr>
                <w:rFonts w:ascii="Arial" w:hAnsi="Arial" w:cs="Arial"/>
                <w:b/>
                <w:bCs/>
                <w:color w:val="000000"/>
                <w:sz w:val="20"/>
                <w:szCs w:val="20"/>
              </w:rPr>
              <w:t>Item:</w:t>
            </w:r>
          </w:p>
        </w:tc>
        <w:tc>
          <w:tcPr>
            <w:tcW w:w="4962" w:type="dxa"/>
            <w:tcMar>
              <w:top w:w="0" w:type="dxa"/>
              <w:left w:w="108" w:type="dxa"/>
              <w:bottom w:w="0" w:type="dxa"/>
              <w:right w:w="108" w:type="dxa"/>
            </w:tcMar>
            <w:hideMark/>
          </w:tcPr>
          <w:p w:rsidR="0073073B" w:rsidRDefault="0073073B">
            <w:pPr>
              <w:rPr>
                <w:rFonts w:ascii="Arial" w:hAnsi="Arial" w:cs="Arial"/>
                <w:color w:val="000000"/>
                <w:sz w:val="20"/>
                <w:szCs w:val="20"/>
              </w:rPr>
            </w:pPr>
            <w:r>
              <w:rPr>
                <w:rFonts w:ascii="Arial" w:hAnsi="Arial" w:cs="Arial"/>
                <w:color w:val="000000"/>
                <w:sz w:val="20"/>
                <w:szCs w:val="20"/>
              </w:rPr>
              <w:t>All items</w:t>
            </w:r>
          </w:p>
        </w:tc>
      </w:tr>
      <w:tr w:rsidR="0073073B" w:rsidTr="0073073B">
        <w:trPr>
          <w:trHeight w:val="264"/>
        </w:trPr>
        <w:tc>
          <w:tcPr>
            <w:tcW w:w="2481" w:type="dxa"/>
            <w:tcMar>
              <w:top w:w="0" w:type="dxa"/>
              <w:left w:w="108" w:type="dxa"/>
              <w:bottom w:w="0" w:type="dxa"/>
              <w:right w:w="108" w:type="dxa"/>
            </w:tcMar>
            <w:hideMark/>
          </w:tcPr>
          <w:p w:rsidR="0073073B" w:rsidRDefault="0073073B">
            <w:pPr>
              <w:rPr>
                <w:rFonts w:ascii="Arial" w:hAnsi="Arial" w:cs="Arial"/>
                <w:b/>
                <w:bCs/>
                <w:color w:val="000000"/>
                <w:sz w:val="20"/>
                <w:szCs w:val="20"/>
              </w:rPr>
            </w:pPr>
            <w:r>
              <w:rPr>
                <w:rFonts w:ascii="Arial" w:hAnsi="Arial" w:cs="Arial"/>
                <w:b/>
                <w:bCs/>
                <w:color w:val="000000"/>
                <w:sz w:val="20"/>
                <w:szCs w:val="20"/>
              </w:rPr>
              <w:t>Base Period:</w:t>
            </w:r>
          </w:p>
        </w:tc>
        <w:tc>
          <w:tcPr>
            <w:tcW w:w="4962" w:type="dxa"/>
            <w:tcMar>
              <w:top w:w="0" w:type="dxa"/>
              <w:left w:w="108" w:type="dxa"/>
              <w:bottom w:w="0" w:type="dxa"/>
              <w:right w:w="108" w:type="dxa"/>
            </w:tcMar>
            <w:hideMark/>
          </w:tcPr>
          <w:p w:rsidR="0073073B" w:rsidRDefault="0073073B">
            <w:pPr>
              <w:rPr>
                <w:rFonts w:ascii="Arial" w:hAnsi="Arial" w:cs="Arial"/>
                <w:color w:val="000000"/>
                <w:sz w:val="20"/>
                <w:szCs w:val="20"/>
              </w:rPr>
            </w:pPr>
            <w:r>
              <w:rPr>
                <w:rFonts w:ascii="Arial" w:hAnsi="Arial" w:cs="Arial"/>
                <w:color w:val="000000"/>
                <w:sz w:val="20"/>
                <w:szCs w:val="20"/>
              </w:rPr>
              <w:t>1982-84=100</w:t>
            </w:r>
          </w:p>
        </w:tc>
      </w:tr>
      <w:tr w:rsidR="0073073B" w:rsidTr="0073073B">
        <w:trPr>
          <w:trHeight w:val="264"/>
        </w:trPr>
        <w:tc>
          <w:tcPr>
            <w:tcW w:w="2481" w:type="dxa"/>
            <w:tcMar>
              <w:top w:w="0" w:type="dxa"/>
              <w:left w:w="108" w:type="dxa"/>
              <w:bottom w:w="0" w:type="dxa"/>
              <w:right w:w="108" w:type="dxa"/>
            </w:tcMar>
            <w:hideMark/>
          </w:tcPr>
          <w:p w:rsidR="0073073B" w:rsidRDefault="0073073B">
            <w:pPr>
              <w:rPr>
                <w:rFonts w:ascii="Arial" w:hAnsi="Arial" w:cs="Arial"/>
                <w:b/>
                <w:bCs/>
                <w:color w:val="000000"/>
                <w:sz w:val="20"/>
                <w:szCs w:val="20"/>
              </w:rPr>
            </w:pPr>
            <w:r>
              <w:rPr>
                <w:rFonts w:ascii="Arial" w:hAnsi="Arial" w:cs="Arial"/>
                <w:b/>
                <w:bCs/>
                <w:color w:val="000000"/>
                <w:sz w:val="20"/>
                <w:szCs w:val="20"/>
              </w:rPr>
              <w:t>Years:</w:t>
            </w:r>
          </w:p>
        </w:tc>
        <w:tc>
          <w:tcPr>
            <w:tcW w:w="4962" w:type="dxa"/>
            <w:noWrap/>
            <w:tcMar>
              <w:top w:w="0" w:type="dxa"/>
              <w:left w:w="108" w:type="dxa"/>
              <w:bottom w:w="0" w:type="dxa"/>
              <w:right w:w="108" w:type="dxa"/>
            </w:tcMar>
            <w:vAlign w:val="bottom"/>
            <w:hideMark/>
          </w:tcPr>
          <w:p w:rsidR="0073073B" w:rsidRDefault="0073073B">
            <w:pPr>
              <w:rPr>
                <w:rFonts w:ascii="Arial" w:hAnsi="Arial" w:cs="Arial"/>
                <w:color w:val="000000"/>
                <w:sz w:val="20"/>
                <w:szCs w:val="20"/>
              </w:rPr>
            </w:pPr>
            <w:r>
              <w:rPr>
                <w:rFonts w:ascii="Arial" w:hAnsi="Arial" w:cs="Arial"/>
                <w:color w:val="000000"/>
                <w:sz w:val="20"/>
                <w:szCs w:val="20"/>
              </w:rPr>
              <w:t>2000 to X (whatever the most recent year available is)</w:t>
            </w:r>
          </w:p>
        </w:tc>
      </w:tr>
    </w:tbl>
    <w:p w:rsidR="0073073B" w:rsidRDefault="0073073B" w:rsidP="0073073B"/>
    <w:p w:rsidR="0073073B" w:rsidRDefault="0073073B" w:rsidP="0073073B">
      <w:r>
        <w:t>The process of obtaining the data is as follows:</w:t>
      </w:r>
    </w:p>
    <w:p w:rsidR="0073073B" w:rsidRDefault="0073073B" w:rsidP="0073073B"/>
    <w:p w:rsidR="0073073B" w:rsidRDefault="0073073B" w:rsidP="0073073B">
      <w:pPr>
        <w:pStyle w:val="ListParagraph"/>
        <w:numPr>
          <w:ilvl w:val="0"/>
          <w:numId w:val="1"/>
        </w:numPr>
      </w:pPr>
      <w:r>
        <w:t xml:space="preserve">Go to the </w:t>
      </w:r>
      <w:r>
        <w:rPr>
          <w:b/>
          <w:bCs/>
        </w:rPr>
        <w:t>Series Report</w:t>
      </w:r>
      <w:r>
        <w:t xml:space="preserve"> interface at the BLS website: </w:t>
      </w:r>
      <w:hyperlink r:id="rId6" w:history="1">
        <w:r>
          <w:rPr>
            <w:rStyle w:val="Hyperlink"/>
          </w:rPr>
          <w:t>http://data.bls.gov/cgi-bin/srgate</w:t>
        </w:r>
      </w:hyperlink>
    </w:p>
    <w:p w:rsidR="0073073B" w:rsidRDefault="0073073B" w:rsidP="0073073B">
      <w:pPr>
        <w:pStyle w:val="ListParagraph"/>
        <w:numPr>
          <w:ilvl w:val="0"/>
          <w:numId w:val="1"/>
        </w:numPr>
      </w:pPr>
      <w:r>
        <w:t>Enter the series name in the box (</w:t>
      </w:r>
      <w:r>
        <w:rPr>
          <w:b/>
          <w:bCs/>
        </w:rPr>
        <w:t>CUUR0000SA0</w:t>
      </w:r>
      <w:r>
        <w:t>)</w:t>
      </w:r>
    </w:p>
    <w:p w:rsidR="0073073B" w:rsidRDefault="0073073B" w:rsidP="0073073B">
      <w:pPr>
        <w:pStyle w:val="ListParagraph"/>
        <w:numPr>
          <w:ilvl w:val="0"/>
          <w:numId w:val="1"/>
        </w:numPr>
      </w:pPr>
      <w:r>
        <w:t>Keep the radio button on “</w:t>
      </w:r>
      <w:r>
        <w:rPr>
          <w:b/>
          <w:bCs/>
        </w:rPr>
        <w:t>Table Format</w:t>
      </w:r>
      <w:r>
        <w:t xml:space="preserve">” unless you want some other format- no </w:t>
      </w:r>
      <w:proofErr w:type="gramStart"/>
      <w:r>
        <w:t>need</w:t>
      </w:r>
      <w:proofErr w:type="gramEnd"/>
      <w:r>
        <w:t xml:space="preserve"> to make a change.</w:t>
      </w:r>
    </w:p>
    <w:p w:rsidR="0073073B" w:rsidRDefault="0073073B" w:rsidP="0073073B">
      <w:pPr>
        <w:pStyle w:val="ListParagraph"/>
        <w:numPr>
          <w:ilvl w:val="0"/>
          <w:numId w:val="1"/>
        </w:numPr>
      </w:pPr>
      <w:r>
        <w:t xml:space="preserve">Keep the check box on </w:t>
      </w:r>
      <w:r>
        <w:rPr>
          <w:b/>
          <w:bCs/>
        </w:rPr>
        <w:t>Original Data value</w:t>
      </w:r>
      <w:r>
        <w:t>- no need to make a change.</w:t>
      </w:r>
    </w:p>
    <w:p w:rsidR="0073073B" w:rsidRDefault="0073073B" w:rsidP="0073073B">
      <w:pPr>
        <w:pStyle w:val="ListParagraph"/>
        <w:numPr>
          <w:ilvl w:val="0"/>
          <w:numId w:val="1"/>
        </w:numPr>
      </w:pPr>
      <w:r>
        <w:t xml:space="preserve">Specify year range starting when you want through the latest year. If the data are not yet available it will provide you with everything that is available. We usually pick up back to </w:t>
      </w:r>
      <w:r>
        <w:rPr>
          <w:b/>
          <w:bCs/>
        </w:rPr>
        <w:t>2000</w:t>
      </w:r>
      <w:r>
        <w:t xml:space="preserve"> just in case there has ever been any revision in any of the underlying data BLS uses to calculate the CPI-U.</w:t>
      </w:r>
    </w:p>
    <w:p w:rsidR="0073073B" w:rsidRDefault="0073073B" w:rsidP="0073073B">
      <w:pPr>
        <w:pStyle w:val="ListParagraph"/>
        <w:numPr>
          <w:ilvl w:val="0"/>
          <w:numId w:val="1"/>
        </w:numPr>
      </w:pPr>
      <w:r>
        <w:t>Select the radio button for “</w:t>
      </w:r>
      <w:r>
        <w:rPr>
          <w:b/>
          <w:bCs/>
        </w:rPr>
        <w:t>one time period</w:t>
      </w:r>
      <w:r>
        <w:t>” then choose “</w:t>
      </w:r>
      <w:r>
        <w:rPr>
          <w:b/>
          <w:bCs/>
        </w:rPr>
        <w:t>Annual data</w:t>
      </w:r>
      <w:r>
        <w:t>”</w:t>
      </w:r>
    </w:p>
    <w:p w:rsidR="0073073B" w:rsidRDefault="0073073B" w:rsidP="0073073B">
      <w:pPr>
        <w:pStyle w:val="ListParagraph"/>
        <w:numPr>
          <w:ilvl w:val="0"/>
          <w:numId w:val="1"/>
        </w:numPr>
      </w:pPr>
      <w:r>
        <w:t xml:space="preserve">Hit the </w:t>
      </w:r>
      <w:r>
        <w:rPr>
          <w:b/>
          <w:bCs/>
        </w:rPr>
        <w:t>retrieve data</w:t>
      </w:r>
      <w:r>
        <w:t xml:space="preserve"> button. This will generate output within the browser window. Check to make sure the dates at the top cover what you wanted, and that above the output data it reads:</w:t>
      </w:r>
    </w:p>
    <w:p w:rsidR="0073073B" w:rsidRDefault="0073073B" w:rsidP="0073073B">
      <w:pPr>
        <w:ind w:left="360"/>
        <w:rPr>
          <w:b/>
          <w:bCs/>
        </w:rPr>
      </w:pPr>
      <w:r>
        <w:t>“Consumer Price Index - All Urban Consumers</w:t>
      </w:r>
    </w:p>
    <w:p w:rsidR="0073073B" w:rsidRDefault="0073073B" w:rsidP="0073073B">
      <w:pPr>
        <w:ind w:left="360"/>
        <w:rPr>
          <w:b/>
          <w:bCs/>
        </w:rPr>
      </w:pPr>
      <w:r>
        <w:rPr>
          <w:b/>
          <w:bCs/>
        </w:rPr>
        <w:t xml:space="preserve">Series Id:    </w:t>
      </w:r>
      <w:r>
        <w:t>CUUR0000SA0</w:t>
      </w:r>
    </w:p>
    <w:p w:rsidR="0073073B" w:rsidRDefault="0073073B" w:rsidP="0073073B">
      <w:pPr>
        <w:ind w:left="360"/>
        <w:rPr>
          <w:b/>
          <w:bCs/>
        </w:rPr>
      </w:pPr>
      <w:r>
        <w:rPr>
          <w:b/>
          <w:bCs/>
        </w:rPr>
        <w:t>Not Seasonally Adjusted</w:t>
      </w:r>
    </w:p>
    <w:p w:rsidR="0073073B" w:rsidRDefault="0073073B" w:rsidP="0073073B">
      <w:pPr>
        <w:ind w:left="360"/>
        <w:rPr>
          <w:b/>
          <w:bCs/>
        </w:rPr>
      </w:pPr>
      <w:r>
        <w:rPr>
          <w:b/>
          <w:bCs/>
        </w:rPr>
        <w:t xml:space="preserve">Area:        </w:t>
      </w:r>
      <w:r>
        <w:t> U.S. city average</w:t>
      </w:r>
    </w:p>
    <w:p w:rsidR="0073073B" w:rsidRDefault="0073073B" w:rsidP="0073073B">
      <w:pPr>
        <w:ind w:left="360"/>
        <w:rPr>
          <w:b/>
          <w:bCs/>
        </w:rPr>
      </w:pPr>
      <w:r>
        <w:rPr>
          <w:b/>
          <w:bCs/>
        </w:rPr>
        <w:t xml:space="preserve">Item:         </w:t>
      </w:r>
      <w:r>
        <w:t>All items</w:t>
      </w:r>
    </w:p>
    <w:p w:rsidR="0073073B" w:rsidRDefault="0073073B" w:rsidP="0073073B">
      <w:pPr>
        <w:ind w:left="360"/>
      </w:pPr>
      <w:r>
        <w:rPr>
          <w:b/>
          <w:bCs/>
        </w:rPr>
        <w:t xml:space="preserve">Base Period:  </w:t>
      </w:r>
      <w:r>
        <w:t>1982-84=100”</w:t>
      </w:r>
    </w:p>
    <w:p w:rsidR="0073073B" w:rsidRDefault="0073073B" w:rsidP="0073073B">
      <w:pPr>
        <w:pStyle w:val="ListParagraph"/>
        <w:numPr>
          <w:ilvl w:val="0"/>
          <w:numId w:val="1"/>
        </w:numPr>
      </w:pPr>
      <w:r>
        <w:t>When you’re sure you’ve  called the right data, click the download link after the words “</w:t>
      </w:r>
      <w:r>
        <w:rPr>
          <w:b/>
          <w:bCs/>
        </w:rPr>
        <w:t>Download:</w:t>
      </w:r>
      <w:r>
        <w:t>”</w:t>
      </w:r>
    </w:p>
    <w:p w:rsidR="0073073B" w:rsidRDefault="0073073B" w:rsidP="0073073B"/>
    <w:p w:rsidR="0073073B" w:rsidRDefault="0073073B" w:rsidP="0073073B">
      <w:r>
        <w:t xml:space="preserve">This data is then applied to the appropriate years to inflate to consistent same-year dollars. </w:t>
      </w:r>
    </w:p>
    <w:p w:rsidR="00742F5C" w:rsidRDefault="00742F5C"/>
    <w:sectPr w:rsidR="0074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27715"/>
    <w:multiLevelType w:val="hybridMultilevel"/>
    <w:tmpl w:val="70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3B"/>
    <w:rsid w:val="00260138"/>
    <w:rsid w:val="0073073B"/>
    <w:rsid w:val="00742F5C"/>
    <w:rsid w:val="00A4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3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073B"/>
    <w:rPr>
      <w:color w:val="0000FF"/>
      <w:u w:val="single"/>
    </w:rPr>
  </w:style>
  <w:style w:type="paragraph" w:styleId="ListParagraph">
    <w:name w:val="List Paragraph"/>
    <w:basedOn w:val="Normal"/>
    <w:uiPriority w:val="34"/>
    <w:qFormat/>
    <w:rsid w:val="0073073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3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073B"/>
    <w:rPr>
      <w:color w:val="0000FF"/>
      <w:u w:val="single"/>
    </w:rPr>
  </w:style>
  <w:style w:type="paragraph" w:styleId="ListParagraph">
    <w:name w:val="List Paragraph"/>
    <w:basedOn w:val="Normal"/>
    <w:uiPriority w:val="34"/>
    <w:qFormat/>
    <w:rsid w:val="007307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7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ls.gov/cgi-bin/srg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ZORN, Martha</dc:creator>
  <cp:lastModifiedBy>ZORN, Martha</cp:lastModifiedBy>
  <cp:revision>1</cp:revision>
  <dcterms:created xsi:type="dcterms:W3CDTF">2015-07-21T18:07:00Z</dcterms:created>
  <dcterms:modified xsi:type="dcterms:W3CDTF">2015-07-21T18:10:00Z</dcterms:modified>
</cp:coreProperties>
</file>