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figure captions</w:t>
      </w:r>
    </w:p>
    <w:p>
      <w:pPr>
        <w:pStyle w:val="Caption"/>
        <w:keepLines/>
      </w:pPr>
      <w:r>
        <w:rPr>
          <w:rFonts w:ascii="Times New Roman" w:hAnsi="Times New Roman"/>
          <w:b w:val="0"/>
          <w:i w:val="0"/>
          <w:sz w:val="22"/>
        </w:rPr>
        <w:t xml:space="preserve">Supplementary Figure S1. Principal component analysis of variance-stabilized gene-level counts from larval and pupal </w:t>
      </w:r>
      <w:r>
        <w:rPr>
          <w:rFonts w:ascii="Times New Roman" w:hAnsi="Times New Roman"/>
          <w:b w:val="0"/>
          <w:i/>
          <w:sz w:val="22"/>
        </w:rPr>
        <w:t>Q</w:t>
      </w:r>
      <w:r>
        <w:rPr>
          <w:rFonts w:ascii="Times New Roman" w:hAnsi="Times New Roman"/>
          <w:b w:val="0"/>
          <w:i/>
          <w:sz w:val="22"/>
        </w:rPr>
        <w:t>.</w:t>
      </w:r>
      <w:r>
        <w:rPr>
          <w:rFonts w:ascii="Times New Roman" w:hAnsi="Times New Roman"/>
          <w:b w:val="0"/>
          <w:i/>
          <w:sz w:val="22"/>
        </w:rPr>
        <w:t xml:space="preserve"> erythrinae</w:t>
      </w:r>
      <w:r>
        <w:rPr>
          <w:rFonts w:ascii="Times New Roman" w:hAnsi="Times New Roman"/>
          <w:b w:val="0"/>
          <w:i w:val="0"/>
          <w:sz w:val="22"/>
        </w:rPr>
        <w:t xml:space="preserve"> libraries. Each labeled point represents one pool of 10 individuals (n = 3 pools per stage). The primary analysis used blind = FALSE and the 500 genes with the highest variance. PC1 and PC2 explained 91.62% and 4.10% of the variance, respectively. Larvae are shown in green and pupae in pink. The stages separated along PC1, while L2 was displaced from the other larval samples along PC2. A blind = TRUE sensitivity analysis retained the stage separation along PC1.</w:t>
      </w:r>
    </w:p>
    <w:p>
      <w:pPr>
        <w:pStyle w:val="Caption"/>
        <w:keepLines/>
      </w:pPr>
      <w:r>
        <w:rPr>
          <w:rFonts w:ascii="Times New Roman" w:hAnsi="Times New Roman"/>
          <w:b w:val="0"/>
          <w:i w:val="0"/>
          <w:sz w:val="22"/>
        </w:rPr>
        <w:t xml:space="preserve">Supplementary Figure S2. Pearson correlations among larval and pupal </w:t>
      </w:r>
      <w:r>
        <w:rPr>
          <w:rFonts w:ascii="Times New Roman" w:hAnsi="Times New Roman"/>
          <w:b w:val="0"/>
          <w:i/>
          <w:sz w:val="22"/>
        </w:rPr>
        <w:t>Q. erythrinae</w:t>
      </w:r>
      <w:r>
        <w:rPr>
          <w:rFonts w:ascii="Times New Roman" w:hAnsi="Times New Roman"/>
          <w:b w:val="0"/>
          <w:i w:val="0"/>
          <w:sz w:val="22"/>
        </w:rPr>
        <w:t xml:space="preserve"> libraries. Correlations were calculated from the primary variance-stabilized expression matrix (blind = FALSE) containing 13,919 retained genes. Rows and columns denote three larval pools (L1–L3) and three pupal pools (P1–P3), each containing 10 individuals. Cell values show Pearson correlation coefficients; the color scale indicates correlation strength.</w:t>
      </w:r>
    </w:p>
    <w:p>
      <w:pPr>
        <w:pStyle w:val="Caption"/>
        <w:keepLines/>
      </w:pPr>
      <w:r>
        <w:rPr>
          <w:rFonts w:ascii="Times New Roman" w:hAnsi="Times New Roman"/>
          <w:b w:val="0"/>
          <w:i w:val="0"/>
          <w:sz w:val="22"/>
        </w:rPr>
        <w:t xml:space="preserve">Supplementary Figure S3. Volcano plot of differential expression between pupal and larval </w:t>
      </w:r>
      <w:r>
        <w:rPr>
          <w:rFonts w:ascii="Times New Roman" w:hAnsi="Times New Roman"/>
          <w:b w:val="0"/>
          <w:i/>
          <w:sz w:val="22"/>
        </w:rPr>
        <w:t>Q</w:t>
      </w:r>
      <w:r>
        <w:rPr>
          <w:rFonts w:ascii="Times New Roman" w:hAnsi="Times New Roman"/>
          <w:b w:val="0"/>
          <w:i/>
          <w:sz w:val="22"/>
        </w:rPr>
        <w:t>.</w:t>
      </w:r>
      <w:r>
        <w:rPr>
          <w:rFonts w:ascii="Times New Roman" w:hAnsi="Times New Roman"/>
          <w:b w:val="0"/>
          <w:i/>
          <w:sz w:val="22"/>
        </w:rPr>
        <w:t xml:space="preserve"> erythrinae</w:t>
      </w:r>
      <w:r>
        <w:rPr>
          <w:rFonts w:ascii="Times New Roman" w:hAnsi="Times New Roman"/>
          <w:b w:val="0"/>
          <w:i w:val="0"/>
          <w:sz w:val="22"/>
        </w:rPr>
        <w:t>. Positive unshrunk log</w:t>
      </w:r>
      <w:r>
        <w:rPr>
          <w:rFonts w:ascii="Times New Roman" w:hAnsi="Times New Roman"/>
          <w:b w:val="0"/>
          <w:i w:val="0"/>
          <w:sz w:val="22"/>
          <w:vertAlign w:val="subscript"/>
        </w:rPr>
        <w:t>2</w:t>
      </w:r>
      <w:r>
        <w:rPr>
          <w:rFonts w:ascii="Times New Roman" w:hAnsi="Times New Roman"/>
          <w:b w:val="0"/>
          <w:i w:val="0"/>
          <w:sz w:val="22"/>
        </w:rPr>
        <w:t xml:space="preserve"> fold changes indicate higher transcript abundance in pupae and negative values indicate higher abundance in larvae. Pupa-up genes are shown in pink and larva-up genes in green. Differential expression required adjusted </w:t>
      </w:r>
      <w:r>
        <w:rPr>
          <w:rFonts w:ascii="Times New Roman" w:hAnsi="Times New Roman"/>
          <w:b w:val="0"/>
          <w:i/>
          <w:sz w:val="22"/>
        </w:rPr>
        <w:t>P</w:t>
      </w:r>
      <w:r>
        <w:rPr>
          <w:rFonts w:ascii="Times New Roman" w:hAnsi="Times New Roman"/>
          <w:b w:val="0"/>
          <w:i w:val="0"/>
          <w:sz w:val="22"/>
        </w:rPr>
        <w:t xml:space="preserve"> &lt; 0.01 and |log</w:t>
      </w:r>
      <w:r>
        <w:rPr>
          <w:rFonts w:ascii="Times New Roman" w:hAnsi="Times New Roman"/>
          <w:b w:val="0"/>
          <w:i w:val="0"/>
          <w:sz w:val="22"/>
          <w:vertAlign w:val="subscript"/>
        </w:rPr>
        <w:t>2</w:t>
      </w:r>
      <w:r>
        <w:rPr>
          <w:rFonts w:ascii="Times New Roman" w:hAnsi="Times New Roman"/>
          <w:b w:val="0"/>
          <w:i w:val="0"/>
          <w:sz w:val="22"/>
        </w:rPr>
        <w:t xml:space="preserve"> fold change| ≥ 1; dashed lines indicate these thresholds. Non-DE denotes genes with an evaluable adjusted </w:t>
      </w:r>
      <w:r>
        <w:rPr>
          <w:rFonts w:ascii="Times New Roman" w:hAnsi="Times New Roman"/>
          <w:b w:val="0"/>
          <w:i/>
          <w:sz w:val="22"/>
        </w:rPr>
        <w:t>P</w:t>
      </w:r>
      <w:r>
        <w:rPr>
          <w:rFonts w:ascii="Times New Roman" w:hAnsi="Times New Roman"/>
          <w:b w:val="0"/>
          <w:i w:val="0"/>
          <w:sz w:val="22"/>
        </w:rPr>
        <w:t xml:space="preserve"> value that did not meet both criteria. The plot includes 13,915 genes with evaluable adjusted </w:t>
      </w:r>
      <w:r>
        <w:rPr>
          <w:rFonts w:ascii="Times New Roman" w:hAnsi="Times New Roman"/>
          <w:b w:val="0"/>
          <w:i/>
          <w:sz w:val="22"/>
        </w:rPr>
        <w:t>P</w:t>
      </w:r>
      <w:r>
        <w:rPr>
          <w:rFonts w:ascii="Times New Roman" w:hAnsi="Times New Roman"/>
          <w:b w:val="0"/>
          <w:i w:val="0"/>
          <w:sz w:val="22"/>
        </w:rPr>
        <w:t xml:space="preserve"> values. Values of -log</w:t>
      </w:r>
      <w:r>
        <w:rPr>
          <w:rFonts w:ascii="Times New Roman" w:hAnsi="Times New Roman"/>
          <w:b w:val="0"/>
          <w:i w:val="0"/>
          <w:sz w:val="22"/>
          <w:vertAlign w:val="subscript"/>
        </w:rPr>
        <w:t>10</w:t>
      </w:r>
      <w:r>
        <w:rPr>
          <w:rFonts w:ascii="Times New Roman" w:hAnsi="Times New Roman"/>
          <w:b w:val="0"/>
          <w:i w:val="0"/>
          <w:sz w:val="22"/>
        </w:rPr>
        <w:t xml:space="preserve"> (adjusted </w:t>
      </w:r>
      <w:r>
        <w:rPr>
          <w:rFonts w:ascii="Times New Roman" w:hAnsi="Times New Roman"/>
          <w:b w:val="0"/>
          <w:i/>
          <w:sz w:val="22"/>
        </w:rPr>
        <w:t>P</w:t>
      </w:r>
      <w:r>
        <w:rPr>
          <w:rFonts w:ascii="Times New Roman" w:hAnsi="Times New Roman"/>
          <w:b w:val="0"/>
          <w:i w:val="0"/>
          <w:sz w:val="22"/>
        </w:rPr>
        <w:t xml:space="preserve">) above 50 are displayed at 50; this display cap does not alter the underlying adjusted </w:t>
      </w:r>
      <w:r>
        <w:rPr>
          <w:rFonts w:ascii="Times New Roman" w:hAnsi="Times New Roman"/>
          <w:b w:val="0"/>
          <w:i/>
          <w:sz w:val="22"/>
        </w:rPr>
        <w:t>P</w:t>
      </w:r>
      <w:r>
        <w:rPr>
          <w:rFonts w:ascii="Times New Roman" w:hAnsi="Times New Roman"/>
          <w:b w:val="0"/>
          <w:i w:val="0"/>
          <w:sz w:val="22"/>
        </w:rPr>
        <w:t xml:space="preserve"> values or DEG classification.</w:t>
      </w:r>
    </w:p>
    <w:p>
      <w:pPr>
        <w:pStyle w:val="Caption"/>
        <w:keepLines/>
      </w:pPr>
      <w:r>
        <w:rPr>
          <w:rFonts w:ascii="Times New Roman" w:hAnsi="Times New Roman"/>
          <w:b w:val="0"/>
          <w:i w:val="0"/>
          <w:sz w:val="22"/>
        </w:rPr>
        <w:t>Supplementary Figure S4. MA plot of insect developmental-stage expression differences. Each point represents one of 13,919 retained genes. The x-axis shows log</w:t>
      </w:r>
      <w:r>
        <w:rPr>
          <w:rFonts w:ascii="Times New Roman" w:hAnsi="Times New Roman"/>
          <w:b w:val="0"/>
          <w:i w:val="0"/>
          <w:sz w:val="22"/>
          <w:vertAlign w:val="subscript"/>
        </w:rPr>
        <w:t>10</w:t>
      </w:r>
      <w:r>
        <w:rPr>
          <w:rFonts w:ascii="Times New Roman" w:hAnsi="Times New Roman"/>
          <w:b w:val="0"/>
          <w:i w:val="0"/>
          <w:sz w:val="22"/>
        </w:rPr>
        <w:t>(baseMean + 1), where baseMean is mean normalized count abundance, and the y-axis shows the unshrunk log</w:t>
      </w:r>
      <w:r>
        <w:rPr>
          <w:rFonts w:ascii="Times New Roman" w:hAnsi="Times New Roman"/>
          <w:b w:val="0"/>
          <w:i w:val="0"/>
          <w:sz w:val="22"/>
          <w:vertAlign w:val="subscript"/>
        </w:rPr>
        <w:t>2</w:t>
      </w:r>
      <w:r>
        <w:rPr>
          <w:rFonts w:ascii="Times New Roman" w:hAnsi="Times New Roman"/>
          <w:b w:val="0"/>
          <w:i w:val="0"/>
          <w:sz w:val="22"/>
        </w:rPr>
        <w:t xml:space="preserve"> fold change for pupa versus larva. Green and pink points indicate larva-up (n = 1,909) and pupa-up (n = 2,497) genes, respectively, under the primary criterion of BH-adjusted </w:t>
      </w:r>
      <w:r>
        <w:rPr>
          <w:rFonts w:ascii="Times New Roman" w:hAnsi="Times New Roman"/>
          <w:b w:val="0"/>
          <w:i/>
          <w:sz w:val="22"/>
        </w:rPr>
        <w:t>P</w:t>
      </w:r>
      <w:r>
        <w:rPr>
          <w:rFonts w:ascii="Times New Roman" w:hAnsi="Times New Roman"/>
          <w:b w:val="0"/>
          <w:i w:val="0"/>
          <w:sz w:val="22"/>
        </w:rPr>
        <w:t xml:space="preserve"> &lt; 0.01 and absolute log</w:t>
      </w:r>
      <w:r>
        <w:rPr>
          <w:rFonts w:ascii="Times New Roman" w:hAnsi="Times New Roman"/>
          <w:b w:val="0"/>
          <w:i w:val="0"/>
          <w:sz w:val="22"/>
          <w:vertAlign w:val="subscript"/>
        </w:rPr>
        <w:t>2</w:t>
      </w:r>
      <w:r>
        <w:rPr>
          <w:rFonts w:ascii="Times New Roman" w:hAnsi="Times New Roman"/>
          <w:b w:val="0"/>
          <w:i w:val="0"/>
          <w:sz w:val="22"/>
        </w:rPr>
        <w:t xml:space="preserve"> fold change ≥ 1. Non-DE genes (gray; n = 9,509) have an available adjusted </w:t>
      </w:r>
      <w:r>
        <w:rPr>
          <w:rFonts w:ascii="Times New Roman" w:hAnsi="Times New Roman"/>
          <w:b w:val="0"/>
          <w:i/>
          <w:sz w:val="22"/>
        </w:rPr>
        <w:t>P</w:t>
      </w:r>
      <w:r>
        <w:rPr>
          <w:rFonts w:ascii="Times New Roman" w:hAnsi="Times New Roman"/>
          <w:b w:val="0"/>
          <w:i w:val="0"/>
          <w:sz w:val="22"/>
        </w:rPr>
        <w:t xml:space="preserve"> value but do not meet both criteria. Not tested genes (crosses; n = 4) have an unavailable adjusted </w:t>
      </w:r>
      <w:r>
        <w:rPr>
          <w:rFonts w:ascii="Times New Roman" w:hAnsi="Times New Roman"/>
          <w:b w:val="0"/>
          <w:i/>
          <w:sz w:val="22"/>
        </w:rPr>
        <w:t>P</w:t>
      </w:r>
      <w:r>
        <w:rPr>
          <w:rFonts w:ascii="Times New Roman" w:hAnsi="Times New Roman"/>
          <w:b w:val="0"/>
          <w:i w:val="0"/>
          <w:sz w:val="22"/>
        </w:rPr>
        <w:t xml:space="preserve"> value and are shown at their actual finite fold-change estimates. The solid line marks zero and dashed lines mark log</w:t>
      </w:r>
      <w:r>
        <w:rPr>
          <w:rFonts w:ascii="Times New Roman" w:hAnsi="Times New Roman"/>
          <w:b w:val="0"/>
          <w:i w:val="0"/>
          <w:sz w:val="22"/>
          <w:vertAlign w:val="subscript"/>
        </w:rPr>
        <w:t>2</w:t>
      </w:r>
      <w:r>
        <w:rPr>
          <w:rFonts w:ascii="Times New Roman" w:hAnsi="Times New Roman"/>
          <w:b w:val="0"/>
          <w:i w:val="0"/>
          <w:sz w:val="22"/>
        </w:rPr>
        <w:t xml:space="preserve"> fold changes of -1 and 1. Legend counts are gene counts.</w:t>
      </w:r>
    </w:p>
    <w:p>
      <w:pPr>
        <w:pStyle w:val="Caption"/>
        <w:keepLines/>
      </w:pPr>
      <w:r>
        <w:rPr>
          <w:rFonts w:ascii="Times New Roman" w:hAnsi="Times New Roman"/>
          <w:b w:val="0"/>
          <w:i w:val="0"/>
          <w:sz w:val="22"/>
        </w:rPr>
        <w:t xml:space="preserve">Supplementary Figure S5. Principal component analysis of the final refined-mask </w:t>
      </w:r>
      <w:r>
        <w:rPr>
          <w:rFonts w:ascii="Times New Roman" w:hAnsi="Times New Roman"/>
          <w:b w:val="0"/>
          <w:i/>
          <w:sz w:val="22"/>
        </w:rPr>
        <w:t>E</w:t>
      </w:r>
      <w:r>
        <w:rPr>
          <w:rFonts w:ascii="Times New Roman" w:hAnsi="Times New Roman"/>
          <w:b w:val="0"/>
          <w:i/>
          <w:sz w:val="22"/>
        </w:rPr>
        <w:t>.</w:t>
      </w:r>
      <w:r>
        <w:rPr>
          <w:rFonts w:ascii="Times New Roman" w:hAnsi="Times New Roman"/>
          <w:b w:val="0"/>
          <w:i/>
          <w:sz w:val="22"/>
        </w:rPr>
        <w:t xml:space="preserve"> variegata</w:t>
      </w:r>
      <w:r>
        <w:rPr>
          <w:rFonts w:ascii="Times New Roman" w:hAnsi="Times New Roman"/>
          <w:b w:val="0"/>
          <w:i w:val="0"/>
          <w:sz w:val="22"/>
        </w:rPr>
        <w:t xml:space="preserve"> expression dataset. Each point represents one whole-petiole library, with three galled petioles (GP, blue triangles) and three ungalled petioles (UP, orange circles) collected from the same host tree during one sampling occasion (n = 3 petioles per condition). PCA was based on variance-stabilized counts. PC1 and PC2 explained 73.05% and 13.90% of the variance, respectively. GP and UP samples separated along PC1; GP samples showed a wider spread than UP samples, particularly along PC2.</w:t>
      </w:r>
    </w:p>
    <w:p>
      <w:pPr>
        <w:pStyle w:val="Caption"/>
        <w:keepLines/>
      </w:pPr>
      <w:r>
        <w:rPr>
          <w:rFonts w:ascii="Times New Roman" w:hAnsi="Times New Roman"/>
          <w:b w:val="0"/>
          <w:i w:val="0"/>
          <w:sz w:val="22"/>
        </w:rPr>
        <w:t xml:space="preserve">Supplementary Figure S6. Pearson correlations among </w:t>
      </w:r>
      <w:r>
        <w:rPr>
          <w:rFonts w:ascii="Times New Roman" w:hAnsi="Times New Roman"/>
          <w:b w:val="0"/>
          <w:i/>
          <w:sz w:val="22"/>
        </w:rPr>
        <w:t>E. variegata</w:t>
      </w:r>
      <w:r>
        <w:rPr>
          <w:rFonts w:ascii="Times New Roman" w:hAnsi="Times New Roman"/>
          <w:b w:val="0"/>
          <w:i w:val="0"/>
          <w:sz w:val="22"/>
        </w:rPr>
        <w:t xml:space="preserve"> whole-petiole libraries. Correlations were calculated from the variance-stabilized final refined-mask expression matrix (blind = TRUE) containing 24,734 retained genes. Rows and columns denote three galled petioles (GP1–GP3) and three ungalled petioles (UP1–UP3) collected from one host tree during one sampling occasion. Cell values show Pearson correlation coefficients; the color scale indicates correlation strength.</w:t>
      </w:r>
    </w:p>
    <w:p>
      <w:pPr>
        <w:pStyle w:val="Caption"/>
        <w:keepLines/>
      </w:pPr>
      <w:r>
        <w:rPr>
          <w:rFonts w:ascii="Times New Roman" w:hAnsi="Times New Roman"/>
          <w:b w:val="0"/>
          <w:i w:val="0"/>
          <w:sz w:val="22"/>
        </w:rPr>
        <w:t xml:space="preserve">Supplementary Figure S7. Differential gene expression between galled and ungalled </w:t>
      </w:r>
      <w:r>
        <w:rPr>
          <w:rFonts w:ascii="Times New Roman" w:hAnsi="Times New Roman"/>
          <w:b w:val="0"/>
          <w:i/>
          <w:sz w:val="22"/>
        </w:rPr>
        <w:t>E</w:t>
      </w:r>
      <w:r>
        <w:rPr>
          <w:rFonts w:ascii="Times New Roman" w:hAnsi="Times New Roman"/>
          <w:b w:val="0"/>
          <w:i/>
          <w:sz w:val="22"/>
        </w:rPr>
        <w:t>.</w:t>
      </w:r>
      <w:r>
        <w:rPr>
          <w:rFonts w:ascii="Times New Roman" w:hAnsi="Times New Roman"/>
          <w:b w:val="0"/>
          <w:i/>
          <w:sz w:val="22"/>
        </w:rPr>
        <w:t xml:space="preserve"> variegata</w:t>
      </w:r>
      <w:r>
        <w:rPr>
          <w:rFonts w:ascii="Times New Roman" w:hAnsi="Times New Roman"/>
          <w:b w:val="0"/>
          <w:i w:val="0"/>
          <w:sz w:val="22"/>
        </w:rPr>
        <w:t xml:space="preserve"> petioles. The volcano plot shows the final refined-mask GP-versus-UP comparison using unshrunk DESeq2 coefficients. Positive log</w:t>
      </w:r>
      <w:r>
        <w:rPr>
          <w:rFonts w:ascii="Times New Roman" w:hAnsi="Times New Roman"/>
          <w:b w:val="0"/>
          <w:i w:val="0"/>
          <w:sz w:val="22"/>
          <w:vertAlign w:val="subscript"/>
        </w:rPr>
        <w:t>2</w:t>
      </w:r>
      <w:r>
        <w:rPr>
          <w:rFonts w:ascii="Times New Roman" w:hAnsi="Times New Roman"/>
          <w:b w:val="0"/>
          <w:i w:val="0"/>
          <w:sz w:val="22"/>
        </w:rPr>
        <w:t xml:space="preserve"> fold changes indicate higher transcript abundance in GP and negative values indicate higher abundance in UP. GP-up genes are blue and UP-up genes are orange. Differential expression required adjusted </w:t>
      </w:r>
      <w:r>
        <w:rPr>
          <w:rFonts w:ascii="Times New Roman" w:hAnsi="Times New Roman"/>
          <w:b w:val="0"/>
          <w:i/>
          <w:sz w:val="22"/>
        </w:rPr>
        <w:t>P</w:t>
      </w:r>
      <w:r>
        <w:rPr>
          <w:rFonts w:ascii="Times New Roman" w:hAnsi="Times New Roman"/>
          <w:b w:val="0"/>
          <w:i w:val="0"/>
          <w:sz w:val="22"/>
        </w:rPr>
        <w:t xml:space="preserve"> &lt; 0.01 and |log</w:t>
      </w:r>
      <w:r>
        <w:rPr>
          <w:rFonts w:ascii="Times New Roman" w:hAnsi="Times New Roman"/>
          <w:b w:val="0"/>
          <w:i w:val="0"/>
          <w:sz w:val="22"/>
          <w:vertAlign w:val="subscript"/>
        </w:rPr>
        <w:t>2</w:t>
      </w:r>
      <w:r>
        <w:rPr>
          <w:rFonts w:ascii="Times New Roman" w:hAnsi="Times New Roman"/>
          <w:b w:val="0"/>
          <w:i w:val="0"/>
          <w:sz w:val="22"/>
        </w:rPr>
        <w:t xml:space="preserve"> fold change| ≥ 1; dashed lines indicate these thresholds. Non-DE denotes genes with an evaluable adjusted </w:t>
      </w:r>
      <w:r>
        <w:rPr>
          <w:rFonts w:ascii="Times New Roman" w:hAnsi="Times New Roman"/>
          <w:b w:val="0"/>
          <w:i/>
          <w:sz w:val="22"/>
        </w:rPr>
        <w:t>P</w:t>
      </w:r>
      <w:r>
        <w:rPr>
          <w:rFonts w:ascii="Times New Roman" w:hAnsi="Times New Roman"/>
          <w:b w:val="0"/>
          <w:i w:val="0"/>
          <w:sz w:val="22"/>
        </w:rPr>
        <w:t xml:space="preserve"> value that did not meet both criteria. Not tested denotes 172 genes lacking an evaluable adjusted </w:t>
      </w:r>
      <w:r>
        <w:rPr>
          <w:rFonts w:ascii="Times New Roman" w:hAnsi="Times New Roman"/>
          <w:b w:val="0"/>
          <w:i/>
          <w:sz w:val="22"/>
        </w:rPr>
        <w:t>P</w:t>
      </w:r>
      <w:r>
        <w:rPr>
          <w:rFonts w:ascii="Times New Roman" w:hAnsi="Times New Roman"/>
          <w:b w:val="0"/>
          <w:i w:val="0"/>
          <w:sz w:val="22"/>
        </w:rPr>
        <w:t xml:space="preserve"> value; crosses at y = 0 show their display positions only and do not represent imputed </w:t>
      </w:r>
      <w:r>
        <w:rPr>
          <w:rFonts w:ascii="Times New Roman" w:hAnsi="Times New Roman"/>
          <w:b w:val="0"/>
          <w:i/>
          <w:sz w:val="22"/>
        </w:rPr>
        <w:t>P</w:t>
      </w:r>
      <w:r>
        <w:rPr>
          <w:rFonts w:ascii="Times New Roman" w:hAnsi="Times New Roman"/>
          <w:b w:val="0"/>
          <w:i w:val="0"/>
          <w:sz w:val="22"/>
        </w:rPr>
        <w:t xml:space="preserve"> values. Large absolute unshrunk coefficients should be interpreted alongside mean normalized counts and coefficient standard errors, provided in the source data.</w:t>
      </w:r>
    </w:p>
    <w:p>
      <w:pPr>
        <w:pStyle w:val="Caption"/>
        <w:keepLines/>
      </w:pPr>
      <w:r>
        <w:rPr>
          <w:rFonts w:ascii="Times New Roman" w:hAnsi="Times New Roman"/>
          <w:b w:val="0"/>
          <w:i w:val="0"/>
          <w:sz w:val="22"/>
        </w:rPr>
        <w:t>Supplementary Figure S8. MA plot of gall-associated plant expression differences. Each point represents one of 24,734 retained genes after the 16,404-gene sequence-provenance mask and frozen count filter. The x-axis shows log</w:t>
      </w:r>
      <w:r>
        <w:rPr>
          <w:rFonts w:ascii="Times New Roman" w:hAnsi="Times New Roman"/>
          <w:b w:val="0"/>
          <w:i w:val="0"/>
          <w:sz w:val="22"/>
          <w:vertAlign w:val="subscript"/>
        </w:rPr>
        <w:t>10</w:t>
      </w:r>
      <w:r>
        <w:rPr>
          <w:rFonts w:ascii="Times New Roman" w:hAnsi="Times New Roman"/>
          <w:b w:val="0"/>
          <w:i w:val="0"/>
          <w:sz w:val="22"/>
        </w:rPr>
        <w:t>(baseMean + 1), where baseMean is mean normalized count abundance, and the y-axis shows the unshrunk log</w:t>
      </w:r>
      <w:r>
        <w:rPr>
          <w:rFonts w:ascii="Times New Roman" w:hAnsi="Times New Roman"/>
          <w:b w:val="0"/>
          <w:i w:val="0"/>
          <w:sz w:val="22"/>
          <w:vertAlign w:val="subscript"/>
        </w:rPr>
        <w:t>2</w:t>
      </w:r>
      <w:r>
        <w:rPr>
          <w:rFonts w:ascii="Times New Roman" w:hAnsi="Times New Roman"/>
          <w:b w:val="0"/>
          <w:i w:val="0"/>
          <w:sz w:val="22"/>
        </w:rPr>
        <w:t xml:space="preserve"> fold change for galled (GP) versus ungalled (UP) whole petioles. Blue and orange points indicate GP-up (n = 2,147) and UP-up (n = 1,383) genes, respectively, under the primary criterion of BH-adjusted </w:t>
      </w:r>
      <w:r>
        <w:rPr>
          <w:rFonts w:ascii="Times New Roman" w:hAnsi="Times New Roman"/>
          <w:b w:val="0"/>
          <w:i/>
          <w:sz w:val="22"/>
        </w:rPr>
        <w:t>P</w:t>
      </w:r>
      <w:r>
        <w:rPr>
          <w:rFonts w:ascii="Times New Roman" w:hAnsi="Times New Roman"/>
          <w:b w:val="0"/>
          <w:i w:val="0"/>
          <w:sz w:val="22"/>
        </w:rPr>
        <w:t xml:space="preserve"> &lt; 0.01 and absolute log</w:t>
      </w:r>
      <w:r>
        <w:rPr>
          <w:rFonts w:ascii="Times New Roman" w:hAnsi="Times New Roman"/>
          <w:b w:val="0"/>
          <w:i w:val="0"/>
          <w:sz w:val="22"/>
          <w:vertAlign w:val="subscript"/>
        </w:rPr>
        <w:t>2</w:t>
      </w:r>
      <w:r>
        <w:rPr>
          <w:rFonts w:ascii="Times New Roman" w:hAnsi="Times New Roman"/>
          <w:b w:val="0"/>
          <w:i w:val="0"/>
          <w:sz w:val="22"/>
        </w:rPr>
        <w:t xml:space="preserve"> fold change ≥ 1. Non-DE genes (gray; n = 21,032) have an available adjusted </w:t>
      </w:r>
      <w:r>
        <w:rPr>
          <w:rFonts w:ascii="Times New Roman" w:hAnsi="Times New Roman"/>
          <w:b w:val="0"/>
          <w:i/>
          <w:sz w:val="22"/>
        </w:rPr>
        <w:t>P</w:t>
      </w:r>
      <w:r>
        <w:rPr>
          <w:rFonts w:ascii="Times New Roman" w:hAnsi="Times New Roman"/>
          <w:b w:val="0"/>
          <w:i w:val="0"/>
          <w:sz w:val="22"/>
        </w:rPr>
        <w:t xml:space="preserve"> value but do not meet both criteria. Not tested genes (crosses; n = 172) have an unavailable adjusted </w:t>
      </w:r>
      <w:r>
        <w:rPr>
          <w:rFonts w:ascii="Times New Roman" w:hAnsi="Times New Roman"/>
          <w:b w:val="0"/>
          <w:i/>
          <w:sz w:val="22"/>
        </w:rPr>
        <w:t>P</w:t>
      </w:r>
      <w:r>
        <w:rPr>
          <w:rFonts w:ascii="Times New Roman" w:hAnsi="Times New Roman"/>
          <w:b w:val="0"/>
          <w:i w:val="0"/>
          <w:sz w:val="22"/>
        </w:rPr>
        <w:t xml:space="preserve"> value and are shown at their actual finite fold-change estimates. The solid line marks zero and dashed lines mark log</w:t>
      </w:r>
      <w:r>
        <w:rPr>
          <w:rFonts w:ascii="Times New Roman" w:hAnsi="Times New Roman"/>
          <w:b w:val="0"/>
          <w:i w:val="0"/>
          <w:sz w:val="22"/>
          <w:vertAlign w:val="subscript"/>
        </w:rPr>
        <w:t>2</w:t>
      </w:r>
      <w:r>
        <w:rPr>
          <w:rFonts w:ascii="Times New Roman" w:hAnsi="Times New Roman"/>
          <w:b w:val="0"/>
          <w:i w:val="0"/>
          <w:sz w:val="22"/>
        </w:rPr>
        <w:t xml:space="preserve"> fold changes of -1 and 1. Legend counts are gene counts.</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40"/>
    </w:pPr>
    <w:rPr>
      <w:rFonts w:ascii="Times New Roman" w:hAnsi="Times New Roman"/>
      <w:b w:val="0"/>
      <w:bCs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76" w:lineRule="auto"/>
      <w:contextualSpacing/>
    </w:pPr>
    <w:rPr>
      <w:rFonts w:ascii="Times New Roman" w:hAnsi="Times New Roman"/>
      <w:b/>
      <w:bCs/>
      <w:i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240"/>
    </w:pPr>
    <w:rPr>
      <w:rFonts w:ascii="Times New Roman" w:hAnsi="Times New Roman"/>
      <w:b w:val="0"/>
      <w:bCs w:val="0"/>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