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sz w:val="28"/>
        </w:rPr>
        <w:t>Main figure captions</w:t>
      </w:r>
    </w:p>
    <w:p>
      <w:pPr>
        <w:pStyle w:val="Caption"/>
      </w:pPr>
      <w:r>
        <w:rPr>
          <w:b w:val="0"/>
          <w:i w:val="0"/>
        </w:rPr>
        <w:t xml:space="preserve">Fig. 1. Study system and experimental design. (a) </w:t>
      </w:r>
      <w:r>
        <w:rPr>
          <w:b w:val="0"/>
          <w:i/>
        </w:rPr>
        <w:t>E</w:t>
      </w:r>
      <w:r>
        <w:rPr>
          <w:b w:val="0"/>
          <w:i/>
        </w:rPr>
        <w:t>.</w:t>
      </w:r>
      <w:r>
        <w:rPr>
          <w:b w:val="0"/>
          <w:i/>
        </w:rPr>
        <w:t xml:space="preserve"> variegata</w:t>
      </w:r>
      <w:r>
        <w:rPr>
          <w:b w:val="0"/>
          <w:i w:val="0"/>
        </w:rPr>
        <w:t xml:space="preserve"> galls induced by </w:t>
      </w:r>
      <w:r>
        <w:rPr>
          <w:b w:val="0"/>
          <w:i/>
        </w:rPr>
        <w:t>Q</w:t>
      </w:r>
      <w:r>
        <w:rPr>
          <w:b w:val="0"/>
          <w:i/>
        </w:rPr>
        <w:t>.</w:t>
      </w:r>
      <w:r>
        <w:rPr>
          <w:b w:val="0"/>
          <w:i/>
        </w:rPr>
        <w:t xml:space="preserve"> erythrinae</w:t>
      </w:r>
      <w:r>
        <w:rPr>
          <w:b w:val="0"/>
          <w:i w:val="0"/>
        </w:rPr>
        <w:t>. Image cropped from Lin et al. [9], Fig. 1B (CC BY 4.0). (b) Separate larva–pupa and galled–ungalled petiole comparisons from a single tree sampled once in Taipei, Taiwan, in November 2020. Each insect stage comprised three pools of 10 individuals from different galled petioles; each plant condition comprised three whole-petiole replicates (GP, galled; UP, ungalled).</w:t>
      </w:r>
    </w:p>
    <w:p>
      <w:pPr>
        <w:pStyle w:val="Caption"/>
      </w:pPr>
      <w:r>
        <w:rPr>
          <w:b w:val="0"/>
          <w:i w:val="0"/>
        </w:rPr>
        <w:t xml:space="preserve">Fig. 2. Representative GO terms and KEGG pathways enriched among larva-up and pupa-up genes in </w:t>
      </w:r>
      <w:r>
        <w:rPr>
          <w:b w:val="0"/>
          <w:i/>
        </w:rPr>
        <w:t>Q</w:t>
      </w:r>
      <w:r>
        <w:rPr>
          <w:b w:val="0"/>
          <w:i/>
        </w:rPr>
        <w:t>.</w:t>
      </w:r>
      <w:r>
        <w:rPr>
          <w:b w:val="0"/>
          <w:i/>
        </w:rPr>
        <w:t xml:space="preserve"> erythrinae</w:t>
      </w:r>
      <w:r>
        <w:rPr>
          <w:b w:val="0"/>
          <w:i w:val="0"/>
        </w:rPr>
        <w:t xml:space="preserve">. (a) Larva-up GO terms. (b) Larva-up KEGG pathways. (c) Pupa-up GO terms. (d) Pupa-up KEGG pathways. Larval and pupal categories are shown in green and pink, respectively. Bars show the percentage of GO- or KEGG-annotated genes in each directional gene set assigned to the indicated category; labels show gene counts. All displayed categories had BH-adjusted </w:t>
      </w:r>
      <w:r>
        <w:rPr>
          <w:b w:val="0"/>
          <w:i/>
        </w:rPr>
        <w:t>P</w:t>
      </w:r>
      <w:r>
        <w:rPr>
          <w:b w:val="0"/>
          <w:i w:val="0"/>
        </w:rPr>
        <w:t xml:space="preserve"> &lt; 0.05. Representative categories were selected to reduce redundancy, although categories may share contributing genes. Complete results are provided in Supplementary Tables S4 and S5.</w:t>
      </w:r>
    </w:p>
    <w:p>
      <w:pPr>
        <w:pStyle w:val="Caption"/>
      </w:pPr>
      <w:r>
        <w:rPr>
          <w:b w:val="0"/>
          <w:i w:val="0"/>
        </w:rPr>
        <w:t xml:space="preserve">Fig. 3. Predicted classical-secretome and focused candidate-family profiles in </w:t>
      </w:r>
      <w:r>
        <w:rPr>
          <w:b w:val="0"/>
          <w:i/>
        </w:rPr>
        <w:t>Q. erythrinae</w:t>
      </w:r>
      <w:r>
        <w:rPr>
          <w:b w:val="0"/>
          <w:i w:val="0"/>
        </w:rPr>
        <w:t>. (a) Classification of 13,455 representative proteins using SignalP and DeepTMHMM. (b) Expression status of the 2,039 proteins meeting the conservative classical-secretome criterion: a predicted SignalP signal peptide and no predicted DeepTMHMM transmembrane region. (c) Expression status within five focused candidate-family inventories. (d) Mean normalized counts for the 14 focused-family genes that were both larva-up and predicted classical-secretome candidates. In (b) and (c), green and pink indicate larva-up and pupa-up genes, respectively. Points in (d) are uniformly green; bracketed abbreviations identify candidate families, and numerical labels show unshrunk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changes for pupa versus larva. DEG classification required BH-adjusted </w:t>
      </w:r>
      <w:r>
        <w:rPr>
          <w:b w:val="0"/>
          <w:i/>
        </w:rPr>
        <w:t>P</w:t>
      </w:r>
      <w:r>
        <w:rPr>
          <w:b w:val="0"/>
          <w:i w:val="0"/>
        </w:rPr>
        <w:t xml:space="preserve"> &lt; 0.01 and an absolute estimated, unshrunk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 ≥ 1. Non-DE genes did not meet both criteria; low-count exclusions and unavailable adjusted </w:t>
      </w:r>
      <w:r>
        <w:rPr>
          <w:b w:val="0"/>
          <w:i/>
        </w:rPr>
        <w:t>P</w:t>
      </w:r>
      <w:r>
        <w:rPr>
          <w:b w:val="0"/>
          <w:i w:val="0"/>
        </w:rPr>
        <w:t xml:space="preserve"> values are shown separately. Classical-secretome classification predicts entry into the classical secretory pathway; extracellular localization and effector activity remain to be tested.</w:t>
      </w:r>
    </w:p>
    <w:p>
      <w:pPr>
        <w:pStyle w:val="Caption"/>
      </w:pPr>
      <w:r>
        <w:rPr>
          <w:b w:val="0"/>
          <w:i w:val="0"/>
        </w:rPr>
        <w:t xml:space="preserve">Fig. 4. Representative functional enrichment associated with differential expression in galled and ungalled </w:t>
      </w:r>
      <w:r>
        <w:rPr>
          <w:b w:val="0"/>
          <w:i/>
        </w:rPr>
        <w:t>E. variegata</w:t>
      </w:r>
      <w:r>
        <w:rPr>
          <w:b w:val="0"/>
          <w:i w:val="0"/>
        </w:rPr>
        <w:t xml:space="preserve"> petioles. Currently resolved GO terms and significant KEGG pathways are shown for GP-up genes (a, b; blue) and UP-up genes (c, d; orange). Bars indicate the percentage of annotation-eligible Trinity gene clusters in each directional set assigned to a category, and labels show cluster counts. All displayed categories had BH-adjusted </w:t>
      </w:r>
      <w:r>
        <w:rPr>
          <w:b w:val="0"/>
          <w:i/>
        </w:rPr>
        <w:t>P</w:t>
      </w:r>
      <w:r>
        <w:rPr>
          <w:b w:val="0"/>
          <w:i w:val="0"/>
        </w:rPr>
        <w:t xml:space="preserve"> &lt; 0.05. Redundant GO terms were omitted from the figure but retained in Supplementary Table S11. The broad KEGG category metabolic pathways and the category chemical carcinogenesis-DNA adducts were omitted from panel b but retained in Supplementary Table S12. The latter shares all 14 GP-up contributing genes with metabolism of xenobiotics by cytochrome P450 and therefore does not provide an independent gene-level enrichment signal.</w:t>
      </w:r>
    </w:p>
    <w:p>
      <w:pPr>
        <w:pStyle w:val="Caption"/>
      </w:pPr>
      <w:r>
        <w:rPr>
          <w:b w:val="0"/>
          <w:i w:val="0"/>
        </w:rPr>
        <w:t>Fig. 5. Expression patterns within the annotation-based plant-defense candidate inventory. Membership was frozen before the final refined-mask expression overlay. (a) Final expression status of all 806 candidate Trinity gene clusters. (b) Numbers of GP-up and UP-up candidates within five overlapping groups from this inventory. Group-specific counts are not additive because some candidates belong to multiple groups. (c) Ten selected GP-up predicted classical-secretome candidates from the inventory. Candidates were SignalP-positive and lacked a predicted transmembrane region. Points are colored by candidate class, and labels show unshrunk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changes for GP versus UP. The dashed line marks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 = 1. The topology predictions indicate entry into the classical secretory pathway; extracellular localization and biological activity remain untested.</w:t>
      </w:r>
    </w:p>
    <w:p>
      <w:pPr>
        <w:pStyle w:val="Caption"/>
      </w:pPr>
      <w:r>
        <w:rPr>
          <w:b w:val="0"/>
          <w:i w:val="0"/>
        </w:rPr>
        <w:t>Fig. 6. Stage-associated insect inhibitor-family homologs and prioritized GP-up plant peptidase candidates. (a) Expression-status distribution of 149 curated insect inhibitor-family homologs across 18 MEROPS families, selected from 2,039 predicted classical-secretome candidates after screening the complete representative proteome. (b) Nine of the 23 larva-up inhibitor-family homologs with the expected Pfam-family support. Negative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changes represent higher larval transcript abundance in the pupa-versus-larva contrast. (c) Nineteen of 20 priority plant peptidase candidates retained as GP-up after the final refined-mask analysis. The 20 candidates were curated from the original GP-up predicted classical-secretome search, and each represents a Trinity gene cluster. Positive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changes represent higher GP transcript abundance. Candidates in (b) and (c) are colored green and blue, respectively; adjacent codes identify MEROPS families. Stems connect estimates to zero and are not confidence intervals. (d) Pupa-up versus larva-up odds ratios for the curated inhibitor set (91 DEGs among 149 members) and Tier-A named-reference subset (47 DEGs among 64 members), compared with the remaining predicted classical-secretome DEGs (1,050 and 1,094, respectively). Points show odds ratios and horizontal lines show 95% confidence intervals. Dashed lines mark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changes of −1 in (b) and +1 in (c), and an odds ratio of 1 in (d). Non-DE genes did not meet both DEG criteria (BH-adjusted </w:t>
      </w:r>
      <w:r>
        <w:rPr>
          <w:b w:val="0"/>
          <w:i/>
        </w:rPr>
        <w:t>P</w:t>
      </w:r>
      <w:r>
        <w:rPr>
          <w:b w:val="0"/>
          <w:i w:val="0"/>
        </w:rPr>
        <w:t xml:space="preserve"> &lt; 0.01 and an absolute estimated, unshrunk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fold change ≥ 1); low-count exclusions and unavailable adjusted </w:t>
      </w:r>
      <w:r>
        <w:rPr>
          <w:b w:val="0"/>
          <w:i/>
        </w:rPr>
        <w:t>P</w:t>
      </w:r>
      <w:r>
        <w:rPr>
          <w:b w:val="0"/>
          <w:i w:val="0"/>
        </w:rPr>
        <w:t xml:space="preserve"> values are separate categories. GP, galled petiole; UP, ungalled petiole. The independently selected insect and plant inventories do not identify interacting inhibitor–peptidase pairs.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after="160"/>
    </w:pPr>
    <w:rPr>
      <w:rFonts w:ascii="Times New Roman" w:hAnsi="Times New Roman" w:eastAsia="Times New Roman" w:cs="Times New Roman"/>
      <w:b w:val="0"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figure captions</dc:title>
  <dc:subject/>
  <dc:creator>Serdar DİNÇ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