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379" w:rsidRPr="00796379" w:rsidRDefault="00796379" w:rsidP="00796379">
      <w:pPr>
        <w:spacing w:after="0"/>
        <w:rPr>
          <w:rFonts w:ascii="Times New Roman" w:hAnsi="Times New Roman" w:cs="Times New Roman"/>
        </w:rPr>
      </w:pPr>
      <w:proofErr w:type="spellStart"/>
      <w:r w:rsidRPr="00796379">
        <w:rPr>
          <w:rFonts w:ascii="Times New Roman" w:hAnsi="Times New Roman" w:cs="Times New Roman"/>
        </w:rPr>
        <w:t>Utilmate</w:t>
      </w:r>
      <w:proofErr w:type="spellEnd"/>
      <w:r w:rsidRPr="00796379">
        <w:rPr>
          <w:rFonts w:ascii="Times New Roman" w:hAnsi="Times New Roman" w:cs="Times New Roman"/>
        </w:rPr>
        <w:t xml:space="preserve"> Tic Tac Toe</w:t>
      </w:r>
    </w:p>
    <w:p w:rsidR="00796379" w:rsidRPr="00796379" w:rsidRDefault="00796379" w:rsidP="00796379">
      <w:pPr>
        <w:pStyle w:val="Tabletext"/>
        <w:spacing w:after="0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</w:t>
      </w:r>
      <w:r w:rsidRPr="00796379">
        <w:rPr>
          <w:sz w:val="22"/>
          <w:szCs w:val="22"/>
          <w:lang w:val="es-ES_tradnl"/>
        </w:rPr>
        <w:t xml:space="preserve">David Puga </w:t>
      </w:r>
      <w:proofErr w:type="spellStart"/>
      <w:r w:rsidRPr="00796379">
        <w:rPr>
          <w:sz w:val="22"/>
          <w:szCs w:val="22"/>
          <w:lang w:val="es-ES_tradnl"/>
        </w:rPr>
        <w:t>Mendivil</w:t>
      </w:r>
      <w:proofErr w:type="spellEnd"/>
      <w:r w:rsidRPr="00796379">
        <w:rPr>
          <w:sz w:val="22"/>
          <w:szCs w:val="22"/>
          <w:lang w:val="es-ES_tradnl"/>
        </w:rPr>
        <w:t xml:space="preserve">   A01332391</w:t>
      </w:r>
    </w:p>
    <w:p w:rsidR="00796379" w:rsidRPr="00796379" w:rsidRDefault="00796379" w:rsidP="00796379">
      <w:pPr>
        <w:pStyle w:val="Tabletext"/>
        <w:spacing w:after="0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</w:t>
      </w:r>
      <w:r w:rsidRPr="00796379">
        <w:rPr>
          <w:sz w:val="22"/>
          <w:szCs w:val="22"/>
          <w:lang w:val="es-ES_tradnl"/>
        </w:rPr>
        <w:t>Dennis Omar Lugo  A01214271</w:t>
      </w:r>
    </w:p>
    <w:p w:rsidR="00796379" w:rsidRDefault="00796379" w:rsidP="00796379">
      <w:pPr>
        <w:spacing w:after="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-</w:t>
      </w:r>
      <w:r w:rsidRPr="00796379">
        <w:rPr>
          <w:rFonts w:ascii="Times New Roman" w:hAnsi="Times New Roman" w:cs="Times New Roman"/>
          <w:lang w:val="es-ES_tradnl"/>
        </w:rPr>
        <w:t xml:space="preserve">Cynthia </w:t>
      </w:r>
      <w:r w:rsidRPr="00796379">
        <w:rPr>
          <w:rFonts w:ascii="Times New Roman" w:hAnsi="Times New Roman" w:cs="Times New Roman"/>
          <w:lang w:val="es-ES_tradnl"/>
        </w:rPr>
        <w:t>García</w:t>
      </w:r>
      <w:r w:rsidRPr="00796379">
        <w:rPr>
          <w:rFonts w:ascii="Times New Roman" w:hAnsi="Times New Roman" w:cs="Times New Roman"/>
          <w:lang w:val="es-ES_tradnl"/>
        </w:rPr>
        <w:t xml:space="preserve"> Velasco A01332329</w:t>
      </w:r>
    </w:p>
    <w:p w:rsidR="00796379" w:rsidRPr="00796379" w:rsidRDefault="00796379" w:rsidP="00796379">
      <w:pPr>
        <w:spacing w:after="0"/>
        <w:rPr>
          <w:rFonts w:ascii="Times New Roman" w:hAnsi="Times New Roman" w:cs="Times New Roman"/>
        </w:rPr>
      </w:pPr>
    </w:p>
    <w:p w:rsidR="00796379" w:rsidRDefault="00796379" w:rsidP="00796379">
      <w:pPr>
        <w:jc w:val="center"/>
        <w:rPr>
          <w:rFonts w:ascii="Times New Roman" w:hAnsi="Times New Roman" w:cs="Times New Roman"/>
        </w:rPr>
      </w:pPr>
      <w:r w:rsidRPr="00796379">
        <w:rPr>
          <w:rFonts w:ascii="Times New Roman" w:hAnsi="Times New Roman" w:cs="Times New Roman"/>
        </w:rPr>
        <w:t>Tabla Comparativa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Frameworks</w:t>
      </w:r>
      <w:proofErr w:type="spellEnd"/>
    </w:p>
    <w:p w:rsidR="00796379" w:rsidRPr="00796379" w:rsidRDefault="00796379" w:rsidP="0079637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878" w:type="dxa"/>
        <w:tblLook w:val="04A0" w:firstRow="1" w:lastRow="0" w:firstColumn="1" w:lastColumn="0" w:noHBand="0" w:noVBand="1"/>
      </w:tblPr>
      <w:tblGrid>
        <w:gridCol w:w="2025"/>
        <w:gridCol w:w="2170"/>
        <w:gridCol w:w="2321"/>
        <w:gridCol w:w="2362"/>
      </w:tblGrid>
      <w:tr w:rsidR="00796379" w:rsidRPr="00EE6D1D" w:rsidTr="00B23712">
        <w:trPr>
          <w:trHeight w:val="495"/>
        </w:trPr>
        <w:tc>
          <w:tcPr>
            <w:tcW w:w="2025" w:type="dxa"/>
          </w:tcPr>
          <w:p w:rsidR="00796379" w:rsidRPr="00B746E6" w:rsidRDefault="00796379" w:rsidP="00B23712">
            <w:pPr>
              <w:pStyle w:val="BodyText"/>
              <w:rPr>
                <w:b/>
                <w:noProof/>
                <w:lang w:val="es-MX" w:eastAsia="es-MX"/>
              </w:rPr>
            </w:pPr>
            <w:r w:rsidRPr="00B746E6">
              <w:rPr>
                <w:b/>
                <w:noProof/>
                <w:lang w:val="es-MX" w:eastAsia="es-MX"/>
              </w:rPr>
              <w:t>JPA</w:t>
            </w:r>
          </w:p>
        </w:tc>
        <w:tc>
          <w:tcPr>
            <w:tcW w:w="2170" w:type="dxa"/>
          </w:tcPr>
          <w:p w:rsidR="00796379" w:rsidRPr="00B746E6" w:rsidRDefault="00796379" w:rsidP="00B23712">
            <w:pPr>
              <w:pStyle w:val="BodyText"/>
              <w:rPr>
                <w:b/>
                <w:noProof/>
                <w:lang w:val="es-MX" w:eastAsia="es-MX"/>
              </w:rPr>
            </w:pPr>
            <w:r w:rsidRPr="00B746E6">
              <w:rPr>
                <w:b/>
                <w:noProof/>
                <w:lang w:val="es-MX" w:eastAsia="es-MX"/>
              </w:rPr>
              <w:t>myBatis</w:t>
            </w:r>
          </w:p>
        </w:tc>
        <w:tc>
          <w:tcPr>
            <w:tcW w:w="2321" w:type="dxa"/>
          </w:tcPr>
          <w:p w:rsidR="00796379" w:rsidRPr="00B746E6" w:rsidRDefault="00796379" w:rsidP="00B23712">
            <w:pPr>
              <w:pStyle w:val="BodyText"/>
              <w:rPr>
                <w:b/>
                <w:noProof/>
                <w:lang w:val="es-MX" w:eastAsia="es-MX"/>
              </w:rPr>
            </w:pPr>
            <w:r w:rsidRPr="00B746E6">
              <w:rPr>
                <w:b/>
                <w:noProof/>
                <w:lang w:val="es-MX" w:eastAsia="es-MX"/>
              </w:rPr>
              <w:t>Hibernate</w:t>
            </w:r>
          </w:p>
        </w:tc>
        <w:tc>
          <w:tcPr>
            <w:tcW w:w="2362" w:type="dxa"/>
          </w:tcPr>
          <w:p w:rsidR="00796379" w:rsidRPr="00B746E6" w:rsidRDefault="00796379" w:rsidP="00B23712">
            <w:pPr>
              <w:pStyle w:val="BodyText"/>
              <w:rPr>
                <w:b/>
                <w:noProof/>
                <w:lang w:val="es-MX" w:eastAsia="es-MX"/>
              </w:rPr>
            </w:pPr>
            <w:r w:rsidRPr="00B746E6">
              <w:rPr>
                <w:b/>
                <w:noProof/>
                <w:lang w:val="es-MX" w:eastAsia="es-MX"/>
              </w:rPr>
              <w:t>JDBC</w:t>
            </w:r>
          </w:p>
        </w:tc>
      </w:tr>
      <w:tr w:rsidR="00796379" w:rsidRPr="00283D5C" w:rsidTr="00B23712">
        <w:trPr>
          <w:trHeight w:val="863"/>
        </w:trPr>
        <w:tc>
          <w:tcPr>
            <w:tcW w:w="2025" w:type="dxa"/>
          </w:tcPr>
          <w:p w:rsidR="00796379" w:rsidRPr="00B746E6" w:rsidRDefault="00796379" w:rsidP="00B23712">
            <w:pPr>
              <w:pStyle w:val="BodyText"/>
              <w:ind w:left="0"/>
              <w:rPr>
                <w:noProof/>
                <w:sz w:val="22"/>
                <w:szCs w:val="22"/>
                <w:lang w:val="es-MX" w:eastAsia="es-MX"/>
              </w:rPr>
            </w:pPr>
            <w:r w:rsidRPr="00B746E6">
              <w:rPr>
                <w:noProof/>
                <w:sz w:val="22"/>
                <w:szCs w:val="22"/>
                <w:lang w:val="es-MX" w:eastAsia="es-MX"/>
              </w:rPr>
              <w:t>Este framework trata de conservar las ventajas de la orientación a objetos interactuando con la base de datos a través de objetos, permitiendo usar los “</w:t>
            </w:r>
            <w:r w:rsidRPr="00B746E6">
              <w:rPr>
                <w:i/>
                <w:iCs/>
                <w:noProof/>
                <w:sz w:val="22"/>
                <w:szCs w:val="22"/>
                <w:lang w:val="es-MX" w:eastAsia="es-MX"/>
              </w:rPr>
              <w:t>Plain Old Java Object</w:t>
            </w:r>
            <w:r w:rsidRPr="00B746E6">
              <w:rPr>
                <w:noProof/>
                <w:sz w:val="22"/>
                <w:szCs w:val="22"/>
                <w:lang w:val="es-MX" w:eastAsia="es-MX"/>
              </w:rPr>
              <w:t>” (POJOs).</w:t>
            </w:r>
          </w:p>
        </w:tc>
        <w:tc>
          <w:tcPr>
            <w:tcW w:w="2170" w:type="dxa"/>
          </w:tcPr>
          <w:p w:rsidR="00796379" w:rsidRPr="00B746E6" w:rsidRDefault="00796379" w:rsidP="00B23712">
            <w:pPr>
              <w:pStyle w:val="BodyText"/>
              <w:ind w:left="0"/>
              <w:rPr>
                <w:noProof/>
                <w:sz w:val="22"/>
                <w:szCs w:val="22"/>
                <w:lang w:val="es-MX" w:eastAsia="es-MX"/>
              </w:rPr>
            </w:pPr>
            <w:r w:rsidRPr="00B746E6">
              <w:rPr>
                <w:noProof/>
                <w:sz w:val="22"/>
                <w:szCs w:val="22"/>
                <w:lang w:val="es-MX" w:eastAsia="es-MX"/>
              </w:rPr>
              <w:t>Herramienta que permite mapear sentencias de SQL y procedimientos almacenados con objetos a part</w:t>
            </w:r>
            <w:bookmarkStart w:id="0" w:name="_GoBack"/>
            <w:bookmarkEnd w:id="0"/>
            <w:r w:rsidRPr="00B746E6">
              <w:rPr>
                <w:noProof/>
                <w:sz w:val="22"/>
                <w:szCs w:val="22"/>
                <w:lang w:val="es-MX" w:eastAsia="es-MX"/>
              </w:rPr>
              <w:t>ir de ficheros XML. De igual forma permite que el modelo de datos y el modelo de objetos se encuentren independientes.</w:t>
            </w:r>
          </w:p>
        </w:tc>
        <w:tc>
          <w:tcPr>
            <w:tcW w:w="2321" w:type="dxa"/>
          </w:tcPr>
          <w:p w:rsidR="00796379" w:rsidRPr="00B746E6" w:rsidRDefault="00796379" w:rsidP="00B23712">
            <w:pPr>
              <w:pStyle w:val="BodyText"/>
              <w:ind w:left="0"/>
              <w:rPr>
                <w:noProof/>
                <w:sz w:val="22"/>
                <w:szCs w:val="22"/>
                <w:lang w:val="es-MX" w:eastAsia="es-MX"/>
              </w:rPr>
            </w:pPr>
            <w:r w:rsidRPr="00B746E6">
              <w:rPr>
                <w:noProof/>
                <w:sz w:val="22"/>
                <w:szCs w:val="22"/>
                <w:lang w:val="es-MX" w:eastAsia="es-MX"/>
              </w:rPr>
              <w:t>Busca principalmente evitar problemas entre los modelos de datos que  coexisten en la aplicación: el usado en la memoria de la computadora y el usado en las bases de datos.</w:t>
            </w:r>
          </w:p>
        </w:tc>
        <w:tc>
          <w:tcPr>
            <w:tcW w:w="2362" w:type="dxa"/>
          </w:tcPr>
          <w:p w:rsidR="00796379" w:rsidRPr="00B746E6" w:rsidRDefault="00796379" w:rsidP="00B23712">
            <w:pPr>
              <w:pStyle w:val="BodyText"/>
              <w:ind w:left="0"/>
              <w:rPr>
                <w:noProof/>
                <w:sz w:val="22"/>
                <w:szCs w:val="22"/>
                <w:lang w:val="es-MX" w:eastAsia="es-MX"/>
              </w:rPr>
            </w:pPr>
            <w:r w:rsidRPr="00B746E6">
              <w:rPr>
                <w:noProof/>
                <w:sz w:val="22"/>
                <w:szCs w:val="22"/>
                <w:lang w:val="es-MX" w:eastAsia="es-MX"/>
              </w:rPr>
              <w:t>Permite la ejecución de operaciones sobre bases de datos desde Java, independientemente del sistema operativo donde sea ejecutado o de la base de datos a la cual se accede.</w:t>
            </w:r>
          </w:p>
        </w:tc>
      </w:tr>
      <w:tr w:rsidR="00796379" w:rsidRPr="00283D5C" w:rsidTr="00B23712">
        <w:trPr>
          <w:trHeight w:val="917"/>
        </w:trPr>
        <w:tc>
          <w:tcPr>
            <w:tcW w:w="2025" w:type="dxa"/>
          </w:tcPr>
          <w:p w:rsidR="00796379" w:rsidRPr="00B746E6" w:rsidRDefault="00796379" w:rsidP="00B23712">
            <w:pPr>
              <w:pStyle w:val="BodyText"/>
              <w:ind w:left="0"/>
              <w:rPr>
                <w:noProof/>
                <w:sz w:val="22"/>
                <w:szCs w:val="22"/>
                <w:lang w:val="es-MX" w:eastAsia="es-MX"/>
              </w:rPr>
            </w:pPr>
            <w:r w:rsidRPr="00B746E6">
              <w:rPr>
                <w:noProof/>
                <w:sz w:val="22"/>
                <w:szCs w:val="22"/>
                <w:lang w:val="es-MX" w:eastAsia="es-MX"/>
              </w:rPr>
              <w:t xml:space="preserve">Utiliza archivos XML para configurar el mappeo entre los objetos de Java y las tablas en la base de datos. Utiliza un lenguage similar a SQL, Java Persistence Query Language (JPQL). </w:t>
            </w:r>
          </w:p>
        </w:tc>
        <w:tc>
          <w:tcPr>
            <w:tcW w:w="2170" w:type="dxa"/>
          </w:tcPr>
          <w:p w:rsidR="00796379" w:rsidRPr="00B746E6" w:rsidRDefault="00796379" w:rsidP="00B23712">
            <w:pPr>
              <w:pStyle w:val="BodyText"/>
              <w:ind w:left="0"/>
              <w:rPr>
                <w:noProof/>
                <w:sz w:val="22"/>
                <w:szCs w:val="22"/>
                <w:lang w:val="es-MX" w:eastAsia="es-MX"/>
              </w:rPr>
            </w:pPr>
            <w:r w:rsidRPr="00B746E6">
              <w:rPr>
                <w:noProof/>
                <w:sz w:val="22"/>
                <w:szCs w:val="22"/>
                <w:lang w:val="es-MX" w:eastAsia="es-MX"/>
              </w:rPr>
              <w:t xml:space="preserve">Permite utilizar todas las funcionalidades de la base de datos (procedimientos almacenados, vistas). Es una herramienta indicada para bases de datos legadas o desnormalizadas. </w:t>
            </w:r>
          </w:p>
        </w:tc>
        <w:tc>
          <w:tcPr>
            <w:tcW w:w="2321" w:type="dxa"/>
          </w:tcPr>
          <w:p w:rsidR="00796379" w:rsidRPr="00B746E6" w:rsidRDefault="00796379" w:rsidP="00B23712">
            <w:pPr>
              <w:pStyle w:val="BodyText"/>
              <w:ind w:left="0"/>
              <w:jc w:val="both"/>
              <w:rPr>
                <w:noProof/>
                <w:sz w:val="22"/>
                <w:szCs w:val="22"/>
                <w:lang w:val="es-MX" w:eastAsia="es-MX"/>
              </w:rPr>
            </w:pPr>
            <w:r w:rsidRPr="00B746E6">
              <w:rPr>
                <w:noProof/>
                <w:sz w:val="22"/>
                <w:szCs w:val="22"/>
                <w:lang w:val="es-MX" w:eastAsia="es-MX"/>
              </w:rPr>
              <w:t>Ofrece también el lenguaje HQL (Hibernate Query Language)  que soporta características avanzadas como páginación y perfiles dinámicos, así como queries polimorficos.</w:t>
            </w:r>
          </w:p>
        </w:tc>
        <w:tc>
          <w:tcPr>
            <w:tcW w:w="2362" w:type="dxa"/>
          </w:tcPr>
          <w:p w:rsidR="00796379" w:rsidRPr="00B746E6" w:rsidRDefault="00796379" w:rsidP="00B23712">
            <w:pPr>
              <w:pStyle w:val="BodyText"/>
              <w:ind w:left="0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  <w:lang w:val="es-MX"/>
              </w:rPr>
            </w:pPr>
            <w:r w:rsidRPr="00B746E6">
              <w:rPr>
                <w:noProof/>
                <w:sz w:val="22"/>
                <w:szCs w:val="22"/>
                <w:lang w:val="es-MX" w:eastAsia="es-MX"/>
              </w:rPr>
              <w:t>Unicamente soporta SQL y se debe especificar en el código el mapeo para asignar la representación de datos de un modelo de objetos a un modelo de datos relacional y su esquema de base de datos correspondiente.</w:t>
            </w:r>
          </w:p>
        </w:tc>
      </w:tr>
    </w:tbl>
    <w:p w:rsidR="00796379" w:rsidRDefault="00796379"/>
    <w:p w:rsidR="008D55DC" w:rsidRDefault="008D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un mejor entendimiento de cada uno de los </w:t>
      </w:r>
      <w:proofErr w:type="spellStart"/>
      <w:r>
        <w:rPr>
          <w:rFonts w:ascii="Times New Roman" w:hAnsi="Times New Roman" w:cs="Times New Roman"/>
        </w:rPr>
        <w:t>frameworks</w:t>
      </w:r>
      <w:proofErr w:type="spellEnd"/>
      <w:r>
        <w:rPr>
          <w:rFonts w:ascii="Times New Roman" w:hAnsi="Times New Roman" w:cs="Times New Roman"/>
        </w:rPr>
        <w:t xml:space="preserve"> previamente mencionados se realizaron pruebas de concepto de cada uno de ellos para una mejor comprensión.</w:t>
      </w:r>
    </w:p>
    <w:p w:rsidR="008D55DC" w:rsidRPr="008D55DC" w:rsidRDefault="002E1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pruebas de concepto se encuentran dentro de repositorio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donde se encuentra este archivo.</w:t>
      </w:r>
    </w:p>
    <w:sectPr w:rsidR="008D55DC" w:rsidRPr="008D5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79"/>
    <w:rsid w:val="00034F84"/>
    <w:rsid w:val="002E1259"/>
    <w:rsid w:val="00796379"/>
    <w:rsid w:val="008D55DC"/>
    <w:rsid w:val="00B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C10E8-C717-41AE-BC3D-44A9BAAD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79637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79637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96379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7963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 gv</dc:creator>
  <cp:keywords/>
  <dc:description/>
  <cp:lastModifiedBy>cyn gv</cp:lastModifiedBy>
  <cp:revision>4</cp:revision>
  <dcterms:created xsi:type="dcterms:W3CDTF">2015-05-03T03:10:00Z</dcterms:created>
  <dcterms:modified xsi:type="dcterms:W3CDTF">2015-05-03T03:46:00Z</dcterms:modified>
</cp:coreProperties>
</file>