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eishuDocumentTitle"/>
        <w:keepNext w:val="0"/>
        <w:ind w:left="0" w:firstLine="0"/>
        <w:jc w:val="left"/>
        <w:spacing w:before="480" w:after="480" w:line="288" w:lineRule="auto"/>
      </w:pPr>
      <w:r>
        <w:t>经营分析报告</w:t>
      </w:r>
    </w:p>
    <w:p>
      <w:pPr>
        <w:pStyle w:val="FeishuSectionHeading"/>
        <w:keepNext/>
        <w:ind w:left="0" w:firstLine="0"/>
        <w:jc w:val="left"/>
        <w:spacing w:before="380" w:after="140" w:line="288" w:lineRule="auto"/>
        <w:outlineLvl w:val="0"/>
      </w:pPr>
      <w:r>
        <w:t>第一屏 · 渠道全景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渠道结构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当前观察期覆盖 2024-07-03 至 2024-12-29。渠道 Metrics 已形成 1,491 条月 × 渠道记录，当前数据能够支持渠道营收、成本和效率的结构性观察。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渠道效率趋势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检查范围</w:t>
            </w:r>
          </w:p>
        </w:tc>
        <w:tc>
          <w:tcPr>
            <w:tcW w:type="dxa" w:w="4968"/>
          </w:tcPr>
          <w:p>
            <w:r>
              <w:t>结果</w:t>
            </w:r>
          </w:p>
        </w:tc>
      </w:tr>
      <w:tr>
        <w:tc>
          <w:tcPr>
            <w:tcW w:type="dxa" w:w="4968"/>
          </w:tcPr>
          <w:p>
            <w:r>
              <w:t>渠道 Metrics</w:t>
            </w:r>
          </w:p>
        </w:tc>
        <w:tc>
          <w:tcPr>
            <w:tcW w:type="dxa" w:w="4968"/>
          </w:tcPr>
          <w:p>
            <w:r>
              <w:t>1,491 条记录</w:t>
            </w:r>
          </w:p>
        </w:tc>
      </w:tr>
      <w:tr>
        <w:tc>
          <w:tcPr>
            <w:tcW w:type="dxa" w:w="4968"/>
          </w:tcPr>
          <w:p>
            <w:r>
              <w:t>CAC 环比跳升规则 R37</w:t>
            </w:r>
          </w:p>
        </w:tc>
        <w:tc>
          <w:tcPr>
            <w:tcW w:type="dxa" w:w="4968"/>
          </w:tcPr>
          <w:p>
            <w:r>
              <w:t>312 条结果，128 条命中</w:t>
            </w:r>
          </w:p>
        </w:tc>
      </w:tr>
      <w:tr>
        <w:tc>
          <w:tcPr>
            <w:tcW w:type="dxa" w:w="4968"/>
          </w:tcPr>
          <w:p>
            <w:r>
              <w:t>CAC 连续上升规则 R36</w:t>
            </w:r>
          </w:p>
        </w:tc>
        <w:tc>
          <w:tcPr>
            <w:tcW w:type="dxa" w:w="4968"/>
          </w:tcPr>
          <w:p>
            <w:r>
              <w:t>157 条结果，28 条命中</w:t>
            </w:r>
          </w:p>
        </w:tc>
      </w:tr>
    </w:tbl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关键发现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发现：成本压力已经覆盖多个渠道，而不是单一渠道现象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R37 在 128 条记录中命中，说明多个渠道出现单期 CAC 跳升；R36 另有 28 条连续上升命中。单期波动和连续上行同时存在，渠道成本压力已经形成较广覆盖。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1"/>
        </w:numPr>
      </w:pPr>
      <w:r>
        <w:t>Rule Result：R37 命中 128 条。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1"/>
        </w:numPr>
      </w:pPr>
      <w:r>
        <w:t>Rule Result：R36 命中 28 条。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发现：持续上行与单期跳升需要区分处理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R37 只表示某个可比较周期出现跳升，不能单独升级为持续趋势；R36 命中才表示对应渠道在连续完整周期内上行。当前两类信号同时存在，不能把全部渠道都归为同一种变化。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2"/>
        </w:numPr>
      </w:pPr>
      <w:r>
        <w:t>R37：规则定义为 CAC 环比跳升。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2"/>
        </w:numPr>
      </w:pPr>
      <w:r>
        <w:t>R36：规则定义为连续 3 个完整月上升。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规则诊断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本屏消费 R36、R37 的正式结果。没有把规则未命中解释为整体渠道健康，也没有根据渠道名称推断渠道类型或原因。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数据缺口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3"/>
        </w:numPr>
      </w:pPr>
      <w:r>
        <w:t>缺少渠道类型映射，影响外部付费、内部流转和自然获客的结构拆分。</w:t>
      </w:r>
    </w:p>
    <w:p>
      <w:pPr>
        <w:pStyle w:val="FeishuSectionHeading"/>
        <w:keepNext/>
        <w:ind w:left="0" w:firstLine="0"/>
        <w:jc w:val="left"/>
        <w:spacing w:before="380" w:after="140" w:line="288" w:lineRule="auto"/>
        <w:outlineLvl w:val="0"/>
      </w:pPr>
      <w:r>
        <w:t>第二屏 · 品类营收结构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品类营收概览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品类 Metrics 已形成 144 条月 × 品类记录，观察期为 2024-07-03 至 2024-12-29。当前首单营收结构可以进行品类规模和排名观察，但首单营收不等同于全量营收或利润。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持续下行品类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规则</w:t>
            </w:r>
          </w:p>
        </w:tc>
        <w:tc>
          <w:tcPr>
            <w:tcW w:type="dxa" w:w="4968"/>
          </w:tcPr>
          <w:p>
            <w:r>
              <w:t>结果</w:t>
            </w:r>
          </w:p>
        </w:tc>
      </w:tr>
      <w:tr>
        <w:tc>
          <w:tcPr>
            <w:tcW w:type="dxa" w:w="4968"/>
          </w:tcPr>
          <w:p>
            <w:r>
              <w:t>R5 核心品类下行趋势</w:t>
            </w:r>
          </w:p>
        </w:tc>
        <w:tc>
          <w:tcPr>
            <w:tcW w:type="dxa" w:w="4968"/>
          </w:tcPr>
          <w:p>
            <w:r>
              <w:t>41 条结果，14 条命中</w:t>
            </w:r>
          </w:p>
        </w:tc>
      </w:tr>
      <w:tr>
        <w:tc>
          <w:tcPr>
            <w:tcW w:type="dxa" w:w="4968"/>
          </w:tcPr>
          <w:p>
            <w:r>
              <w:t>R8 涨跌两极分化</w:t>
            </w:r>
          </w:p>
        </w:tc>
        <w:tc>
          <w:tcPr>
            <w:tcW w:type="dxa" w:w="4968"/>
          </w:tcPr>
          <w:p>
            <w:r>
              <w:t>3 条结果，3 条命中</w:t>
            </w:r>
          </w:p>
        </w:tc>
      </w:tr>
      <w:tr>
        <w:tc>
          <w:tcPr>
            <w:tcW w:type="dxa" w:w="4968"/>
          </w:tcPr>
          <w:p>
            <w:r>
              <w:t>R9 系统性下跌</w:t>
            </w:r>
          </w:p>
        </w:tc>
        <w:tc>
          <w:tcPr>
            <w:tcW w:type="dxa" w:w="4968"/>
          </w:tcPr>
          <w:p>
            <w:r>
              <w:t>2 条结果，2 条命中</w:t>
            </w:r>
          </w:p>
        </w:tc>
      </w:tr>
      <w:tr>
        <w:tc>
          <w:tcPr>
            <w:tcW w:type="dxa" w:w="4968"/>
          </w:tcPr>
          <w:p>
            <w:r>
              <w:t>R3 / R4 集中度检查</w:t>
            </w:r>
          </w:p>
        </w:tc>
        <w:tc>
          <w:tcPr>
            <w:tcW w:type="dxa" w:w="4968"/>
          </w:tcPr>
          <w:p>
            <w:r>
              <w:t>均未命中</w:t>
            </w:r>
          </w:p>
        </w:tc>
      </w:tr>
    </w:tbl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关键发现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发现：品类下行已经从局部现象扩散为系统性信号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R5 有 14 条命中，R9 有 2 条命中，且 R9 的规则事实显示满足连续下降条件的品类数量为 7。下行信号覆盖多个连续完整周期，不能只视为单个品类的短期波动。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4"/>
        </w:numPr>
      </w:pPr>
      <w:r>
        <w:t>R9 命中 2 条。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4"/>
        </w:numPr>
      </w:pPr>
      <w:r>
        <w:t>R9 证据：满足 R5 连续下降条件的品类数为 7。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发现：品类表现正在两极分化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R8 在 3 个可比较周期全部命中，说明同一时期内同时存在较快增长和明显下降的品类。该结果支持“结构分化”判断，但不支持进一步推断具体原因。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5"/>
        </w:numPr>
      </w:pPr>
      <w:r>
        <w:t>R8 命中 3 条。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5"/>
        </w:numPr>
      </w:pPr>
      <w:r>
        <w:t>R8 规则条件为同时存在环比超过 30% 与低于 -30% 的品类。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规则诊断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R3、R4 均未命中，只表示对应集中度条件没有触发，不代表品类结构不存在其他风险。品类经营类型标签未进入当前事实包，因此不做经营类型分类。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数据缺口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6"/>
        </w:numPr>
      </w:pPr>
      <w:r>
        <w:t>缺少品类经营类型标签，影响品类角色分类分析。</w:t>
      </w:r>
    </w:p>
    <w:p>
      <w:pPr>
        <w:pStyle w:val="FeishuSectionHeading"/>
        <w:keepNext/>
        <w:ind w:left="0" w:firstLine="0"/>
        <w:jc w:val="left"/>
        <w:spacing w:before="380" w:after="140" w:line="288" w:lineRule="auto"/>
        <w:outlineLvl w:val="0"/>
      </w:pPr>
      <w:r>
        <w:t>第三屏 · 获客成本信号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成本信号总览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当前渠道效率数据支持 CAC、CAC Rate、转化率和 ROI 的规则检查。规则结果中 R37 共 128 条命中，R36 共 28 条命中，说明成本信号既有单期跳升，也有连续上行。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持续上行渠道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信号</w:t>
            </w:r>
          </w:p>
        </w:tc>
        <w:tc>
          <w:tcPr>
            <w:tcW w:type="dxa" w:w="4968"/>
          </w:tcPr>
          <w:p>
            <w:r>
              <w:t>结果</w:t>
            </w:r>
          </w:p>
        </w:tc>
      </w:tr>
      <w:tr>
        <w:tc>
          <w:tcPr>
            <w:tcW w:type="dxa" w:w="4968"/>
          </w:tcPr>
          <w:p>
            <w:r>
              <w:t>CAC 连续上行（R36）</w:t>
            </w:r>
          </w:p>
        </w:tc>
        <w:tc>
          <w:tcPr>
            <w:tcW w:type="dxa" w:w="4968"/>
          </w:tcPr>
          <w:p>
            <w:r>
              <w:t>28 条命中</w:t>
            </w:r>
          </w:p>
        </w:tc>
      </w:tr>
      <w:tr>
        <w:tc>
          <w:tcPr>
            <w:tcW w:type="dxa" w:w="4968"/>
          </w:tcPr>
          <w:p>
            <w:r>
              <w:t>CAC 单期跳升（R37）</w:t>
            </w:r>
          </w:p>
        </w:tc>
        <w:tc>
          <w:tcPr>
            <w:tcW w:type="dxa" w:w="4968"/>
          </w:tcPr>
          <w:p>
            <w:r>
              <w:t>128 条命中</w:t>
            </w:r>
          </w:p>
        </w:tc>
      </w:tr>
    </w:tbl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关键发现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发现：成本压力的覆盖范围较广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R37 命中 128 条，表明单期 CAC 跳升并非个别记录；R36 命中 28 条，说明其中一部分已经形成连续上行。需要优先关注同时出现两类信号的渠道，但不能把单期跳升直接等同于趋势。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7"/>
        </w:numPr>
      </w:pPr>
      <w:r>
        <w:t>R37 命中 128 条。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7"/>
        </w:numPr>
      </w:pPr>
      <w:r>
        <w:t>R36 命中 28 条。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发现：持续上行比单期波动更接近结构性成本压力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R36 的连续 3 个完整月条件比 R37 的单期变化提供了更强的趋势证据。当前结果支持对连续上行渠道进行优先复核，但没有提供足够证据说明上行来自竞价、素材、流量质量或其他具体原因。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8"/>
        </w:numPr>
      </w:pPr>
      <w:r>
        <w:t>R36 规则条件为连续 3 个完整月上升。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8"/>
        </w:numPr>
      </w:pPr>
      <w:r>
        <w:t>R37 规则条件为 CAC 环比跳升超过 5 个百分点。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优先复核清单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优先复核同时命中 R36 和 R37 的渠道；具体渠道名称和周期应以对应 Rule Result 的 dimension 与 period 为准。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数据缺口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09"/>
        </w:numPr>
      </w:pPr>
      <w:r>
        <w:t>缺少渠道类型和外部竞价等补充证据，影响成本压力来源定位。</w:t>
      </w:r>
    </w:p>
    <w:p>
      <w:pPr>
        <w:pStyle w:val="FeishuSectionHeading"/>
        <w:keepNext/>
        <w:ind w:left="0" w:firstLine="0"/>
        <w:jc w:val="left"/>
        <w:spacing w:before="380" w:after="140" w:line="288" w:lineRule="auto"/>
        <w:outlineLvl w:val="0"/>
      </w:pPr>
      <w:r>
        <w:t>第四屏 · 投放有效性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检查结果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检查项</w:t>
            </w:r>
          </w:p>
        </w:tc>
        <w:tc>
          <w:tcPr>
            <w:tcW w:type="dxa" w:w="4968"/>
          </w:tcPr>
          <w:p>
            <w:r>
              <w:t>结果</w:t>
            </w:r>
          </w:p>
        </w:tc>
      </w:tr>
      <w:tr>
        <w:tc>
          <w:tcPr>
            <w:tcW w:type="dxa" w:w="4968"/>
          </w:tcPr>
          <w:p>
            <w:r>
              <w:t>低效消耗占比规则 R61</w:t>
            </w:r>
          </w:p>
        </w:tc>
        <w:tc>
          <w:tcPr>
            <w:tcW w:type="dxa" w:w="4968"/>
          </w:tcPr>
          <w:p>
            <w:r>
              <w:t>当前结果未命中</w:t>
            </w:r>
          </w:p>
        </w:tc>
      </w:tr>
      <w:tr>
        <w:tc>
          <w:tcPr>
            <w:tcW w:type="dxa" w:w="4968"/>
          </w:tcPr>
          <w:p>
            <w:r>
              <w:t>规则结果总量</w:t>
            </w:r>
          </w:p>
        </w:tc>
        <w:tc>
          <w:tcPr>
            <w:tcW w:type="dxa" w:w="4968"/>
          </w:tcPr>
          <w:p>
            <w:r>
              <w:t>527 条</w:t>
            </w:r>
          </w:p>
        </w:tc>
      </w:tr>
      <w:tr>
        <w:tc>
          <w:tcPr>
            <w:tcW w:type="dxa" w:w="4968"/>
          </w:tcPr>
          <w:p>
            <w:r>
              <w:t>规则命中总量</w:t>
            </w:r>
          </w:p>
        </w:tc>
        <w:tc>
          <w:tcPr>
            <w:tcW w:type="dxa" w:w="4968"/>
          </w:tcPr>
          <w:p>
            <w:r>
              <w:t>175 条</w:t>
            </w:r>
          </w:p>
        </w:tc>
      </w:tr>
    </w:tbl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关键发现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发现：低效消耗占比这一项风险当前没有触发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R61 未命中，表示输入周期内该规则条件没有成立。这个结论只覆盖 R61 定义的低效消耗占比检查，不能扩展为投放整体健康或渠道整体没有问题。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0"/>
        </w:numPr>
      </w:pPr>
      <w:r>
        <w:t>Rule Result：R61 没有命中记录。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0"/>
        </w:numPr>
      </w:pPr>
      <w:r>
        <w:t>R61 检查的是 ROI&lt;0.5 渠道消耗占比是否超过规则阈值。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覆盖边界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本屏只覆盖低效消耗占比。渠道成本持续上行、渠道集中度、渠道类型结构、品类 × 渠道依赖和渠道级利润不在本项规则覆盖范围内。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数据缺口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1"/>
        </w:numPr>
      </w:pPr>
      <w:r>
        <w:t>缺少渠道类型、利润和品类 × 渠道交叉证据，影响对投放整体有效性的扩展判断。</w:t>
      </w:r>
    </w:p>
    <w:p>
      <w:pPr>
        <w:pStyle w:val="FeishuSectionHeading"/>
        <w:keepNext/>
        <w:ind w:left="0" w:firstLine="0"/>
        <w:jc w:val="left"/>
        <w:spacing w:before="380" w:after="140" w:line="288" w:lineRule="auto"/>
        <w:outlineLvl w:val="0"/>
      </w:pPr>
      <w:r>
        <w:t>第五屏 · 总结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核心结论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结论：当前最明确的经营信号是品类下行与渠道成本压力并存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前四屏已经确认 R9 命中 2 条、R5 命中 14 条，同时 R36 命中 28 条、R37 命中 128 条。品类端存在连续下行和两极分化，渠道端存在持续上行和单期跳升，当前压力不是单一环节信号。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2"/>
        </w:numPr>
      </w:pPr>
      <w:r>
        <w:t>第二屏：R9 命中 2 条，R5 命中 14 条。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2"/>
        </w:numPr>
      </w:pPr>
      <w:r>
        <w:t>第三屏：R36 命中 28 条，R37 命中 128 条。</w:t>
      </w:r>
    </w:p>
    <w:p>
      <w:pPr>
        <w:pStyle w:val="FeishuFindingHeading"/>
        <w:keepNext/>
        <w:ind w:left="0" w:firstLine="0"/>
        <w:jc w:val="left"/>
        <w:spacing w:before="300" w:after="120" w:line="288" w:lineRule="auto"/>
        <w:outlineLvl w:val="2"/>
      </w:pPr>
      <w:r>
        <w:t>结论：投放有效性风险与成本上行是两项不同检查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R61 当前未命中，只表示低效消耗占比条件没有触发；同时 R36/R37 的成本信号仍然存在。不能用 R61 未命中推出渠道成本没有压力，也不能将成本上行原因升级为确定性结论。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证据：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3"/>
        </w:numPr>
      </w:pPr>
      <w:r>
        <w:t>第四屏：R61 未命中。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3"/>
        </w:numPr>
      </w:pPr>
      <w:r>
        <w:t>第三屏：R36、R37 均有命中结果。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已确认风险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风险</w:t>
            </w:r>
          </w:p>
        </w:tc>
        <w:tc>
          <w:tcPr>
            <w:tcW w:type="dxa" w:w="4968"/>
          </w:tcPr>
          <w:p>
            <w:r>
              <w:t>证据</w:t>
            </w:r>
          </w:p>
        </w:tc>
      </w:tr>
      <w:tr>
        <w:tc>
          <w:tcPr>
            <w:tcW w:type="dxa" w:w="4968"/>
          </w:tcPr>
          <w:p>
            <w:r>
              <w:t>品类系统性下行</w:t>
            </w:r>
          </w:p>
        </w:tc>
        <w:tc>
          <w:tcPr>
            <w:tcW w:type="dxa" w:w="4968"/>
          </w:tcPr>
          <w:p>
            <w:r>
              <w:t>R9 命中 2 条，连续下降品类数为 7</w:t>
            </w:r>
          </w:p>
        </w:tc>
      </w:tr>
      <w:tr>
        <w:tc>
          <w:tcPr>
            <w:tcW w:type="dxa" w:w="4968"/>
          </w:tcPr>
          <w:p>
            <w:r>
              <w:t>品类表现分化</w:t>
            </w:r>
          </w:p>
        </w:tc>
        <w:tc>
          <w:tcPr>
            <w:tcW w:type="dxa" w:w="4968"/>
          </w:tcPr>
          <w:p>
            <w:r>
              <w:t>R8 命中 3 条</w:t>
            </w:r>
          </w:p>
        </w:tc>
      </w:tr>
      <w:tr>
        <w:tc>
          <w:tcPr>
            <w:tcW w:type="dxa" w:w="4968"/>
          </w:tcPr>
          <w:p>
            <w:r>
              <w:t>渠道成本连续上行</w:t>
            </w:r>
          </w:p>
        </w:tc>
        <w:tc>
          <w:tcPr>
            <w:tcW w:type="dxa" w:w="4968"/>
          </w:tcPr>
          <w:p>
            <w:r>
              <w:t>R36 命中 28 条</w:t>
            </w:r>
          </w:p>
        </w:tc>
      </w:tr>
      <w:tr>
        <w:tc>
          <w:tcPr>
            <w:tcW w:type="dxa" w:w="4968"/>
          </w:tcPr>
          <w:p>
            <w:r>
              <w:t>渠道成本单期跳升</w:t>
            </w:r>
          </w:p>
        </w:tc>
        <w:tc>
          <w:tcPr>
            <w:tcW w:type="dxa" w:w="4968"/>
          </w:tcPr>
          <w:p>
            <w:r>
              <w:t>R37 命中 128 条</w:t>
            </w:r>
          </w:p>
        </w:tc>
      </w:tr>
    </w:tbl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优先核查顺序</w:t>
      </w:r>
    </w:p>
    <w:p>
      <w:pPr>
        <w:pStyle w:val="FeishuBody"/>
        <w:keepNext w:val="0"/>
        <w:ind w:left="0" w:firstLine="0"/>
        <w:jc w:val="left"/>
        <w:spacing w:before="120" w:after="120" w:line="288" w:lineRule="auto"/>
      </w:pPr>
      <w:r>
        <w:t>1. 先复核同时命中 R36 与 R37 的渠道，区分持续上行和单期波动。 2. 再核对 R9 涉及品类的下行是否集中在特定渠道或数据覆盖范围内。 3. 最后补充渠道类型、利润和品类 × 渠道交叉证据，避免把局部规则结果扩大为整体经营判断。</w:t>
      </w:r>
    </w:p>
    <w:p>
      <w:pPr>
        <w:pStyle w:val="FeishuModuleHeading"/>
        <w:keepNext/>
        <w:ind w:left="0" w:firstLine="0"/>
        <w:jc w:val="left"/>
        <w:spacing w:before="320" w:after="120" w:line="288" w:lineRule="auto"/>
        <w:outlineLvl w:val="1"/>
      </w:pPr>
      <w:r>
        <w:t>数据缺口</w:t>
      </w:r>
    </w:p>
    <w:p>
      <w:pPr>
        <w:pStyle w:val="FeishuList"/>
        <w:keepNext w:val="0"/>
        <w:ind w:left="0" w:firstLine="0"/>
        <w:jc w:val="left"/>
        <w:spacing w:before="120" w:after="120" w:line="288" w:lineRule="auto"/>
        <w:numPr>
          <w:ilvl w:val="0"/>
          <w:numId w:val="914"/>
        </w:numPr>
      </w:pPr>
      <w:r>
        <w:t>缺少渠道类型、利润和品类 × 渠道交叉证据，影响风险来源和经营归因判断。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1">
    <w:abstractNumId w:val="901"/>
  </w:num>
  <w:abstractNum w:abstractNumId="90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2">
    <w:abstractNumId w:val="902"/>
  </w:num>
  <w:abstractNum w:abstractNumId="90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3">
    <w:abstractNumId w:val="903"/>
  </w:num>
  <w:abstractNum w:abstractNumId="90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4">
    <w:abstractNumId w:val="904"/>
  </w:num>
  <w:abstractNum w:abstractNumId="905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5">
    <w:abstractNumId w:val="905"/>
  </w:num>
  <w:abstractNum w:abstractNumId="906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6">
    <w:abstractNumId w:val="906"/>
  </w:num>
  <w:abstractNum w:abstractNumId="907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7">
    <w:abstractNumId w:val="907"/>
  </w:num>
  <w:abstractNum w:abstractNumId="908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8">
    <w:abstractNumId w:val="908"/>
  </w:num>
  <w:abstractNum w:abstractNumId="90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09">
    <w:abstractNumId w:val="909"/>
  </w:num>
  <w:abstractNum w:abstractNumId="9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10">
    <w:abstractNumId w:val="910"/>
  </w:num>
  <w:abstractNum w:abstractNumId="9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11">
    <w:abstractNumId w:val="911"/>
  </w:num>
  <w:abstractNum w:abstractNumId="9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12">
    <w:abstractNumId w:val="912"/>
  </w:num>
  <w:abstractNum w:abstractNumId="9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13">
    <w:abstractNumId w:val="913"/>
  </w:num>
  <w:abstractNum w:abstractNumId="91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914">
    <w:abstractNumId w:val="9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ishuDocumentTitle">
    <w:name w:val="Feishu Document Title"/>
    <w:basedOn w:val="Normal"/>
    <w:pPr>
      <w:keepNext w:val="0"/>
      <w:ind w:left="0" w:firstLine="0"/>
      <w:jc w:val="left"/>
      <w:spacing w:before="480" w:after="480" w:line="288" w:lineRule="auto"/>
    </w:pPr>
    <w:rPr>
      <w:rFonts w:ascii="Arial" w:hAnsi="Arial" w:eastAsia="等线" w:cs="Arial"/>
      <w:b/>
      <w:sz w:val="52"/>
    </w:rPr>
  </w:style>
  <w:style w:type="paragraph" w:customStyle="1" w:styleId="FeishuSectionHeading">
    <w:name w:val="Feishu Section Heading"/>
    <w:basedOn w:val="Normal"/>
    <w:pPr>
      <w:keepNext/>
      <w:ind w:left="0" w:firstLine="0"/>
      <w:jc w:val="left"/>
      <w:spacing w:before="380" w:after="140" w:line="288" w:lineRule="auto"/>
      <w:outlineLvl w:val="0"/>
    </w:pPr>
    <w:rPr>
      <w:rFonts w:ascii="Arial" w:hAnsi="Arial" w:eastAsia="等线" w:cs="Arial"/>
      <w:b/>
      <w:sz w:val="36"/>
    </w:rPr>
  </w:style>
  <w:style w:type="paragraph" w:customStyle="1" w:styleId="FeishuModuleHeading">
    <w:name w:val="Feishu Module Heading"/>
    <w:basedOn w:val="Normal"/>
    <w:pPr>
      <w:keepNext/>
      <w:ind w:left="0" w:firstLine="0"/>
      <w:jc w:val="left"/>
      <w:spacing w:before="320" w:after="120" w:line="288" w:lineRule="auto"/>
      <w:outlineLvl w:val="1"/>
    </w:pPr>
    <w:rPr>
      <w:rFonts w:ascii="Arial" w:hAnsi="Arial" w:eastAsia="等线" w:cs="Arial"/>
      <w:b/>
      <w:sz w:val="32"/>
    </w:rPr>
  </w:style>
  <w:style w:type="paragraph" w:customStyle="1" w:styleId="FeishuFindingHeading">
    <w:name w:val="Feishu Finding Heading"/>
    <w:basedOn w:val="Normal"/>
    <w:pPr>
      <w:keepNext/>
      <w:ind w:left="0" w:firstLine="0"/>
      <w:jc w:val="left"/>
      <w:spacing w:before="300" w:after="120" w:line="288" w:lineRule="auto"/>
      <w:outlineLvl w:val="2"/>
    </w:pPr>
    <w:rPr>
      <w:rFonts w:ascii="Arial" w:hAnsi="Arial" w:eastAsia="等线" w:cs="Arial"/>
      <w:b/>
      <w:sz w:val="30"/>
    </w:rPr>
  </w:style>
  <w:style w:type="paragraph" w:customStyle="1" w:styleId="FeishuBody">
    <w:name w:val="Feishu Body"/>
    <w:basedOn w:val="Normal"/>
    <w:pPr>
      <w:keepNext w:val="0"/>
      <w:ind w:left="0" w:firstLine="0"/>
      <w:jc w:val="left"/>
      <w:spacing w:before="120" w:after="120" w:line="288" w:lineRule="auto"/>
    </w:pPr>
    <w:rPr>
      <w:rFonts w:ascii="Arial" w:hAnsi="Arial" w:eastAsia="等线" w:cs="Arial"/>
      <w:b w:val="0"/>
      <w:sz w:val="22"/>
    </w:rPr>
  </w:style>
  <w:style w:type="paragraph" w:customStyle="1" w:styleId="FeishuList">
    <w:name w:val="Feishu List"/>
    <w:basedOn w:val="Normal"/>
    <w:pPr>
      <w:keepNext w:val="0"/>
      <w:ind w:left="0" w:firstLine="0"/>
      <w:jc w:val="left"/>
      <w:spacing w:before="120" w:after="120" w:line="288" w:lineRule="auto"/>
    </w:pPr>
    <w:rPr>
      <w:rFonts w:ascii="Arial" w:hAnsi="Arial" w:eastAsia="等线" w:cs="Arial"/>
      <w:b w:val="0"/>
      <w:sz w:val="22"/>
    </w:rPr>
  </w:style>
  <w:style w:type="paragraph" w:customStyle="1" w:styleId="FeishuImageCaption">
    <w:name w:val="Feishu Image Caption"/>
    <w:basedOn w:val="Normal"/>
    <w:pPr>
      <w:keepNext w:val="0"/>
      <w:ind w:left="0" w:firstLine="0"/>
      <w:jc w:val="center"/>
      <w:spacing w:after="120"/>
    </w:pPr>
    <w:rPr>
      <w:rFonts w:ascii="Arial" w:hAnsi="Arial" w:eastAsia="等线" w:cs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