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88" w:lineRule="auto"/>
      </w:pPr>
      <w:r>
        <w:rPr>
          <w:rFonts w:ascii="Arial" w:hAnsi="Arial" w:eastAsia="等线" w:cs="Arial"/>
          <w:b/>
          <w:sz w:val="52"/>
        </w:rPr>
        <w:t>完整报告v1.0（测试数据验证版）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6"/>
        </w:rPr>
        <w:t>第一屏 · 渠道全景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观察期：2026-07-01 至 2026-07-29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渠道结构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渠道效率趋势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关键发现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发现：投放高度分散在长尾渠道上，头部渠道并未形成规模集中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观察期内共有2552个具体渠道产生投放，全渠道总成本约1.01亿，其中成本最高的单一渠道（太极-微信2761户-旧-小程序-智传）仅占全渠道成本的1.7%左右，前20个渠道合计成本占比也远低于半数。这说明当前获客并非依赖少数大渠道，而是由大量中小渠道共同堆出规模，渠道层面的运营复杂度较高。</w:t>
      </w:r>
    </w:p>
    <w:p>
      <w:pPr>
        <w:spacing w:before="120" w:after="120" w:line="288" w:lineRule="auto"/>
      </w:pP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观察期全渠道总成本约100,898,067，覆盖2552个渠道。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成本最高的渠道为“太极-微信2761户-旧-小程序-智传”，成本约1,710,316，占全渠道成本比例约1.7%。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发现：从ROI口径看，多数投放已进入低效区间，但月度是否为改善或恶化趋势无法判断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若按渠道ROI&lt;0.5作为无效投放口径粗略估算（该口径对应规则R61的判定标准），本期ROI&lt;0.5的渠道合计成本约6450万，占全渠道总成本约63.9%。这一比例明显偏高，但由于本期数据只覆盖单一自然月且该月不完整，无法像多月观测那样判断这是持续性问题还是当月的短期特征。</w:t>
      </w:r>
    </w:p>
    <w:p>
      <w:pPr>
        <w:spacing w:before="120" w:after="120" w:line="288" w:lineRule="auto"/>
      </w:pP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按ROI&lt;0.5口径估算，本期低效渠道合计成本约64,506,290，占全渠道总成本约63.9%。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【规则结论】</w:t>
      </w:r>
      <w:r>
        <w:rPr>
          <w:rFonts w:ascii="Arial" w:hAnsi="Arial" w:eastAsia="等线" w:cs="Arial"/>
          <w:b w:val="0"/>
          <w:sz w:val="22"/>
        </w:rPr>
        <w:t>R61（无效投放P0）规则本身在本期未产出正式判定结果，因为该规则仅评估“完整自然月”数据，而本期观察窗口不满足完整月条件（见下方“数据缺口”）；上文比例为对同一口径的手动估算，供参考。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发现：当前数据只能形成单月截面判断，无法评估渠道结构是否在改善或恶化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由于观察期仅29天、不构成完整自然月，本屏所有依赖“连续多个完整月”的趋势类判断（渠道效率是否持续改善、投放规模是否持续收缩等）都缺乏可用样本，只能停留在单月截面层面。</w:t>
      </w:r>
    </w:p>
    <w:p>
      <w:pPr>
        <w:spacing w:before="120" w:after="120" w:line="288" w:lineRule="auto"/>
      </w:pP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【推断】</w:t>
      </w:r>
      <w:r>
        <w:rPr>
          <w:rFonts w:ascii="Arial" w:hAnsi="Arial" w:eastAsia="等线" w:cs="Arial"/>
          <w:b w:val="0"/>
          <w:sz w:val="22"/>
        </w:rPr>
        <w:t>现有单月数据显示低效投放占比偏高，但没有前序月份数据可比对，无法判断这是趋势性问题还是波动。置信度：低。待验证项：至少补充1-2个相邻完整月数据以形成环比序列。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规则诊断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数据缺口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观察期仅2026-07-01至2026-07-29共29天，7月完整自然月应为31天，数据不构成完整自然月，导致R61等依赖“完整月”筛选的规则无法产出正式判定结果，本屏仅能给出基于全量数据的手动估算，不能等同于规则命中结论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缺少渠道类型映射表（acquisition_source_type），无法进行外部付费/内部流转/转介绍/自然获客的结构分解，影响对获客入口结构的判断。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缺少月 × 品类 × 渠道交叉聚合数据，无法评估品类对渠道的依赖关系。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源数据缺少“首单正式营退款流水”字段，按0处理，可能低估退款对净营收的影响。</w:t>
      </w:r>
    </w:p>
    <w:p>
      <w:r>
        <w:br w:type="page"/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6"/>
        </w:rPr>
        <w:t>第二屏 · 品类营收结构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品类营收概览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持续下行品类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由于观察期仅覆盖单一不完整月，无法形成连续3个完整月的对比窗口，本期不产出“持续下行品类”清单（见下方“数据缺口”）。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关键发现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发现一：收入结构相对分散，太极是唯一具备明显规模的品类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太极品类首单营收约1377万，占全品类营收比例约29.2%，是唯一占比超过10%的品类。若按R3口径（Top1占比&gt;0.50）衡量，尚未达到集中度过高的标准；Top3品类（太极、唱歌、短视频）合计占比约48.2%，同样未达到R4定义的“过于分散”（Top3占比&lt;0.50）标准。整体来看，收入结构目前处于相对健康的分散区间，没有单一品类占绝对主导。</w:t>
      </w:r>
    </w:p>
    <w:p>
      <w:pPr>
        <w:spacing w:before="120" w:after="120" w:line="288" w:lineRule="auto"/>
      </w:pP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Top1品类为太极，营收约13,772,361，占比约29.2%。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Top3品类（太极、唱歌、短视频）合计营收约22,705,578，占比约48.2%。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【规则结论】</w:t>
      </w:r>
      <w:r>
        <w:rPr>
          <w:rFonts w:ascii="Arial" w:hAnsi="Arial" w:eastAsia="等线" w:cs="Arial"/>
          <w:b w:val="0"/>
          <w:sz w:val="22"/>
        </w:rPr>
        <w:t>R3（营收集中度）未命中：Top1占比29.2%，低于0.50阈值。R4（营收过于分散）未命中：Top3占比48.2%，未低于0.50阈值。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发现二：长尾品类中存在多个几乎无产出的品类，资源投入产出比值得复核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产研测试、开心晨练团、功法学院、摄影美学等品类本期首单营收为0或接近0（不足10元），与太极、唱歌等头部品类的百万级营收形成明显断层。这类品类若仍在持续投入资源，需要确认是新品类处于孵化期，还是已经失去继续投放的价值。</w:t>
      </w:r>
    </w:p>
    <w:p>
      <w:pPr>
        <w:spacing w:before="120" w:after="120" w:line="288" w:lineRule="auto"/>
      </w:pP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开心晨练团、功法学院、摄影美学三个品类本期首单营收均为0；产研测试品类本期首单营收约4.2元。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发现三：品类层面的涨跌两极分化、连续下行等趋势指标本期均无法评估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由于本期只有一个不完整月，规则R5（核心品类下行趋势）、R6（增长一致性）、R8（涨跌两极分化）、R9（系统性下跌）均要求至少3个连续完整月的数据才能产出判定，本期这些规则均没有可用样本，不能得出品类是否在系统性下行或分化的结论。</w:t>
      </w:r>
    </w:p>
    <w:p>
      <w:pPr>
        <w:spacing w:before="120" w:after="120" w:line="288" w:lineRule="auto"/>
      </w:pP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【规则结论】</w:t>
      </w:r>
      <w:r>
        <w:rPr>
          <w:rFonts w:ascii="Arial" w:hAnsi="Arial" w:eastAsia="等线" w:cs="Arial"/>
          <w:b w:val="0"/>
          <w:sz w:val="22"/>
        </w:rPr>
        <w:t>R5、R6、R8、R9本期均无判定结果，原因是数据不满足“连续多个完整月”的前提条件。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规则诊断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数据缺口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观察期仅29天、非完整自然月，R5（核心品类下行趋势）、R6（增长一致性）、R8（涨跌两极分化）、R9（系统性下跌）均需要至少3个连续完整月数据，本期无法评估，需补充至少3个完整月的历史数据才能进行趋势判断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缺少品类经营类型标签（如“获客型”、“深耕型”），无法对品类角色进行经营分类分析。</w:t>
      </w:r>
    </w:p>
    <w:p>
      <w:r>
        <w:br w:type="page"/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6"/>
        </w:rPr>
        <w:t>第三屏 · 获客成本信号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成本信号总览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持续上行渠道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由于观察期仅覆盖单一不完整月，无法形成连续3个完整月的CAC率序列，本期不产出“持续上行渠道”清单（见下方“数据缺口”）。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关键发现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发现一：本期约六成渠道有可计算的CAC率，成本效率在渠道间差异明显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2552个渠道中有1614个渠道本期产生了有效CAC率数据（其余渠道因线索或成交为0等原因无法计算）。在成本规模较大（成本&gt;5万）的581个渠道中，CAC率中位数约2.32，但最高可达22.39，渠道间的获客成本效率差异较大，头部与尾部渠道的成本表现并不均衡。</w:t>
      </w:r>
    </w:p>
    <w:p>
      <w:pPr>
        <w:spacing w:before="120" w:after="120" w:line="288" w:lineRule="auto"/>
      </w:pP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本期共1614个渠道产生有效CAC率数据（渠道总数2552个）。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成本规模&gt;5万的581个渠道中，CAC率中位数约2.32，最高约22.39（渠道：视频号9.9-蔚蓝-79225352-7月17日）。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发现二：CAC率是否处于上升趋势本期无法判断，仅能看到单月截面差异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规则R36（CAC连续上升）与R37（CAC环比跳升）都需要至少两个连续完整月数据才能计算环比变化，本期只有一个不完整月，两条规则均没有可用样本。当前能看到的只是同一个月内不同渠道之间CAC率的高低差异，不能理解为某个渠道的成本“正在上升”。</w:t>
      </w:r>
    </w:p>
    <w:p>
      <w:pPr>
        <w:spacing w:before="120" w:after="120" w:line="288" w:lineRule="auto"/>
      </w:pP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【规则结论】</w:t>
      </w:r>
      <w:r>
        <w:rPr>
          <w:rFonts w:ascii="Arial" w:hAnsi="Arial" w:eastAsia="等线" w:cs="Arial"/>
          <w:b w:val="0"/>
          <w:sz w:val="22"/>
        </w:rPr>
        <w:t>R36、R37本期均无判定结果，原因是数据不满足“连续完整月环比”的前提条件。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优先复核清单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由于本期无法评估CAC率的月度变化趋势，暂无法给出“持续上行且单期跳升”的优先复核渠道清单。建议在积累至少2-3个完整月数据后，按R36/R37口径重新评估。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数据缺口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观察期仅29天、非完整自然月，R36（CAC连续上升）、R37（CAC环比跳升）均需要至少2-3个连续完整月数据计算环比，本期无法评估任何渠道的成本变化趋势，只能呈现单月截面对比。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缺少渠道类型映射表（acquisition_source_type），无法判断高CAC率渠道属于外部付费、内部流转或自然获客，影响成本压力来源的进一步定位。</w:t>
      </w:r>
    </w:p>
    <w:p>
      <w:r>
        <w:br w:type="page"/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6"/>
        </w:rPr>
        <w:t>第四屏 · 投放有效性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检查结果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关键发现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发现：按ROI&lt;0.5口径估算，本期低效消耗占比明显偏高，但规则本身因数据不完整未能正式判定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若手动套用R61（无效投放P0）的判定口径（ROI&lt;0.5渠道消耗占比&gt;0.20），本期该比例约为63.9%，远超20%的阈值。但由于观察期仅29天、不构成完整自然月，规则引擎按其设计仅评估“完整月”数据，本期没有产出正式的R61判定结果，因此这一比例只能作为参考性估算，不能等同于“规则命中”。</w:t>
      </w:r>
    </w:p>
    <w:p>
      <w:pPr>
        <w:spacing w:before="120" w:after="120" w:line="288" w:lineRule="auto"/>
      </w:pP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【数据事实】</w:t>
      </w:r>
      <w:r>
        <w:rPr>
          <w:rFonts w:ascii="Arial" w:hAnsi="Arial" w:eastAsia="等线" w:cs="Arial"/>
          <w:b w:val="0"/>
          <w:sz w:val="22"/>
        </w:rPr>
        <w:t>按ROI&lt;0.5口径估算，本期低效渠道消耗约64,506,290，占全渠道总成本约63.9%。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/>
          <w:color w:val="1F4E79"/>
          <w:sz w:val="22"/>
        </w:rPr>
        <w:t>【规则结论】</w:t>
      </w:r>
      <w:r>
        <w:rPr>
          <w:rFonts w:ascii="Arial" w:hAnsi="Arial" w:eastAsia="等线" w:cs="Arial"/>
          <w:b w:val="0"/>
          <w:sz w:val="22"/>
        </w:rPr>
        <w:t>R61本期未产出正式判定结果，因数据不满足“完整自然月”前提。上述63.9%为脱离规则引擎的手动估算，供参考。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覆盖边界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本屏的估算只覆盖低效消耗占比这一项风险，且由于数据不完整、未经过规则引擎正式判定，其严谨性低于规则自动产出的结论。渠道集中度、付费与自然流量结构、渠道级利润、品类×渠道依赖度都不在本项检查范围内，不能由此推出投放整体没有问题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数据缺口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观察期仅29天、非完整自然月，R61规则未能正式运行，本屏63.9%的低效消耗占比为手动估算而非规则命中结果，可信度低于完整月数据下的正式判定。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缺少渠道类型映射表（acquisition_source_type），无法区分外部付费、内部流转、自然获客等渠道类型结构。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缺少月×品类×渠道的交叉聚合数据，无法分析品类对渠道的依赖度。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缺少客户级数据，无法分析转介绍、内部流转等获客路径。</w:t>
      </w:r>
    </w:p>
    <w:p>
      <w:r>
        <w:br w:type="page"/>
      </w: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6"/>
        </w:rPr>
        <w:t>第五屏 · 总结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核心结论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结论一：本期数据能支撑的是单月截面判断，尚不能形成任何趋势性结论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已确认的事实是，观察期仅覆盖2026-07-01至2026-07-29共29天，不构成完整自然月。这直接导致规则引擎中依赖“连续多个完整月”的趋势类规则（R5核心品类下行趋势、R6增长一致性、R8涨跌两极分化、R9系统性下跌、R36 CAC连续上升、R37 CAC环比跳升）全部没有产出判定结果。当前所有结论都只能基于单月截面数据，不能判断任何指标是在变好还是变差。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证据：R5/R6/R8/R9/R36/R37本期均无判定结果，原因是数据不满足“连续完整月”前提。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结论二：从单月截面看，投放效率信号偏弱，但结论强度受限于数据完整性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已确认的事实是，按ROI&lt;0.5口径手动估算，本期低效渠道消耗占全渠道成本约63.9%，明显偏高；但由于该口径下的正式规则R61未能运行，这一比例的严谨性弱于规则自动判定的结果，只能作为需要关注的信号，不能视为确定性结论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证据：ROI&lt;0.5渠道消耗占比手动估算为63.9%；R61本期未产出正式判定。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0"/>
        </w:rPr>
        <w:t>结论三：品类收入结构相对分散，未见单一品类过度集中的风险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已确认的事实是，太极品类以约29.2%的营收占比排名第一，Top3品类合计占比约48.2%，均未达到R3、R4定义的集中或过度分散阈值。收入没有过度依赖单一品类，但也说明目前没有一个品类能独立支撑整体规模。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证据：R3未命中（Top1占比29.2%&lt;0.50）；R4未命中（Top3占比48.2%，未低于0.50）。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已确认风险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优先核查顺序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第一优先：补充至少2-3个连续完整自然月的历史数据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当前最大的限制不是任何单一业务问题，而是数据观察窗口过短、且不构成完整月，导致R5/R6/R8/R9/R36/R37等全部趋势类规则无法运行。这是后续能否做出可靠经营判断的前提条件。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第二优先：核实ROI&lt;0.5渠道消耗占比63.9%这一信号是否具有持续性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本期手动估算的低效消耗占比明显偏高，需要在数据补齐后用正式的R61规则重新验证，确认这是当月特有现象还是持续性问题。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第三优先：补齐“首单正式营退款流水”字段</w:t>
      </w:r>
    </w:p>
    <w:p>
      <w:p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源数据中该字段整体缺失，本次按0处理，可能导致净营收被高估，需要与业务方确认该字段的真实获取方式。</w:t>
      </w:r>
    </w:p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ascii="Arial" w:hAnsi="Arial" w:eastAsia="等线" w:cs="Arial"/>
          <w:b/>
          <w:sz w:val="32"/>
        </w:rPr>
        <w:t>数据缺口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观察期仅2026-07-01至2026-07-29共29天，不构成完整自然月，导致R5、R6、R8、R9、R36、R37等全部依赖连续完整月的趋势类规则本期均无法评估，是本报告最主要的局限。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源数据缺少“首单正式营退款流水”字段，本次按0处理（视为无退款数据），可能低估退款对净营收的影响。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缺少渠道类型映射表（acquisition_source_type），无法判断成本压力或低效消耗的渠道属于外部付费、内部流转还是自然获客，影响问题根因定位。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缺少月×品类×渠道的交叉聚合数据，无法分析品类对渠道的依赖度。</w:t>
      </w:r>
    </w:p>
    <w:p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  <w:b w:val="0"/>
          <w:sz w:val="22"/>
        </w:rPr>
        <w:t>缺少客户级数据（customer_id、referral_*），首单订单数仅能作为首购用户代理，无法分析复购、转介绍等客户价值指标，影响对收入质量的全景判断。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">
    <w:lvl w:ilvl="0">
      <w:numFmt w:val="bullet"/>
      <w:lvlText w:val="•"/>
      <w:suff w:val="tab"/>
      <w:pPr>
        <w:ind w:left="360" w:hanging="360"/>
      </w:pPr>
      <w:rPr>
        <w:color w:val="3370FF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