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88" w:lineRule="auto"/>
      </w:pPr>
      <w:r>
        <w:rPr>
          <w:rFonts w:ascii="Arial" w:hAnsi="Arial" w:eastAsia="等线" w:cs="Arial"/>
          <w:b/>
          <w:sz w:val="52"/>
        </w:rPr>
        <w:t>完整报告v1.0（测试数据验证版）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6"/>
        </w:rPr>
        <w:t>第一屏 · 渠道全景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观察期：2026-07-01 至 2026-07-29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渠道结构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渠道效率趋势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关键发现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0"/>
        </w:rPr>
        <w:t>发现：投放高度分散在长尾渠道上，头部渠道并未形成规模集中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观察期内共有2552个具体渠道产生投放，全渠道总成本约1.01亿，其中成本最高的单一渠道（太极-微信2761户-旧-小程序-智传）仅占全渠道成本的1.7%左右，前20个渠道合计成本占比也远低于半数。这说明当前获客并非依赖少数大渠道，而是由大量中小渠道共同堆出规模，渠道层面的运营复杂度较高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【数据事实】</w:t>
      </w:r>
      <w:r>
        <w:rPr>
          <w:rFonts w:ascii="Arial" w:hAnsi="Arial" w:eastAsia="等线" w:cs="Arial"/>
          <w:b w:val="0"/>
          <w:sz w:val="22"/>
        </w:rPr>
        <w:t>观察期全渠道总成本约100,898,067，覆盖2552个渠道。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【数据事实】</w:t>
      </w:r>
      <w:r>
        <w:rPr>
          <w:rFonts w:ascii="Arial" w:hAnsi="Arial" w:eastAsia="等线" w:cs="Arial"/>
          <w:b w:val="0"/>
          <w:sz w:val="22"/>
        </w:rPr>
        <w:t>成本最高的渠道为"太极-微信2761户-旧-小程序-智传"，成本约1,710,316，占全渠道成本比例约1.7%。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0"/>
        </w:rPr>
        <w:t>发现：从ROI口径看，多数投放已进入低效区间，但月度是否为改善或恶化趋势无法判断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若按渠道ROI&lt;0.5作为无效投放口径粗略估算（该口径对应规则R61的判定标准），本期ROI&lt;0.5的渠道合计成本约6450万，占全渠道总成本约63.9%。这一比例明显偏高，但由于本期数据只覆盖单一自然月且该月不完整，无法像多月观测那样判断这是持续性问题还是当月的短期特征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【数据事实】</w:t>
      </w:r>
      <w:r>
        <w:rPr>
          <w:rFonts w:ascii="Arial" w:hAnsi="Arial" w:eastAsia="等线" w:cs="Arial"/>
          <w:b w:val="0"/>
          <w:sz w:val="22"/>
        </w:rPr>
        <w:t>按ROI&lt;0.5口径估算，本期低效渠道合计成本约64,506,290，占全渠道总成本约63.9%。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【规则结论】</w:t>
      </w:r>
      <w:r>
        <w:rPr>
          <w:rFonts w:ascii="Arial" w:hAnsi="Arial" w:eastAsia="等线" w:cs="Arial"/>
          <w:b w:val="0"/>
          <w:sz w:val="22"/>
        </w:rPr>
        <w:t>R61（无效投放P0）规则本身在本期未产出正式判定结果，因为该规则仅评估"完整自然月"数据，而本期观察窗口不满足完整月条件（见下方"数据缺口"）；上文比例为对同一口径的手动估算，供参考。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0"/>
        </w:rPr>
        <w:t>发现：当前数据只能形成单月截面判断，无法评估渠道结构是否在改善或恶化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由于观察期仅29天、不构成完整自然月，本屏所有依赖"连续多个完整月"的趋势类判断（渠道效率是否持续改善、投放规模是否持续收缩等）都缺乏可用样本，只能停留在单月截面层面。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【推断】</w:t>
      </w:r>
      <w:r>
        <w:rPr>
          <w:rFonts w:ascii="Arial" w:hAnsi="Arial" w:eastAsia="等线" w:cs="Arial"/>
          <w:b w:val="0"/>
          <w:sz w:val="22"/>
        </w:rPr>
        <w:t>现有单月数据显示低效投放占比偏高，但没有前序月份数据可比对，无法判断这是趋势性问题还是波动。置信度：低。待验证项：至少补充1-2个相邻完整月数据以形成环比序列。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规则诊断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数据缺口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观察期仅2026-07-01至2026-07-29共29天，7月完整自然月应为31天，数据不构成完整自然月，导致R61等依赖"完整月"筛选的规则无法产出正式判定结果，本屏仅能给出基于全量数据的手动估算，不能等同于规则命中结论。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缺少渠道类型映射表（`acquisition_source_type`），无法进行外部付费/内部流转/转介绍/自然获客的结构分解，影响对获客入口结构的判断。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缺少月 × 品类 × 渠道交叉聚合数据，无法评估品类对渠道的依赖关系。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源数据缺少"首单正式营退款流水"字段，按0处理，可能低估退款对净营收的影响。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6"/>
        </w:rPr>
        <w:t>第二屏 · 品类营收结构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品类营收概览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持续下行品类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由于观察期仅覆盖单一不完整月，无法形成连续3个完整月的对比窗口，本期不产出"持续下行品类"清单（见下方"数据缺口"）。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关键发现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0"/>
        </w:rPr>
        <w:t>发现一：收入结构相对分散，太极是唯一具备明显规模的品类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太极品类首单营收约1377万，占全品类营收比例约29.2%，是唯一占比超过10%的品类。若按R3口径（Top1占比&gt;0.50）衡量，尚未达到集中度过高的标准；Top3品类（太极、唱歌、短视频）合计占比约48.2%，同样未达到R4定义的"过于分散"（Top3占比&lt;0.50）标准。整体来看，收入结构目前处于相对健康的分散区间，没有单一品类占绝对主导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【数据事实】</w:t>
      </w:r>
      <w:r>
        <w:rPr>
          <w:rFonts w:ascii="Arial" w:hAnsi="Arial" w:eastAsia="等线" w:cs="Arial"/>
          <w:b w:val="0"/>
          <w:sz w:val="22"/>
        </w:rPr>
        <w:t>Top1品类为太极，营收约13,772,361，占比约29.2%。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【数据事实】</w:t>
      </w:r>
      <w:r>
        <w:rPr>
          <w:rFonts w:ascii="Arial" w:hAnsi="Arial" w:eastAsia="等线" w:cs="Arial"/>
          <w:b w:val="0"/>
          <w:sz w:val="22"/>
        </w:rPr>
        <w:t>Top3品类（太极、唱歌、短视频）合计营收约22,705,578，占比约48.2%。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【规则结论】</w:t>
      </w:r>
      <w:r>
        <w:rPr>
          <w:rFonts w:ascii="Arial" w:hAnsi="Arial" w:eastAsia="等线" w:cs="Arial"/>
          <w:b w:val="0"/>
          <w:sz w:val="22"/>
        </w:rPr>
        <w:t>R3（营收集中度）未命中：Top1占比29.2%，低于0.50阈值。R4（营收过于分散）未命中：Top3占比48.2%，未低于0.50阈值。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0"/>
        </w:rPr>
        <w:t>发现二：长尾品类中存在多个几乎无产出的品类，资源投入产出比值得复核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产研测试、开心晨练团、功法学院、摄影美学等品类本期首单营收为0或接近0（不足10元），与太极、唱歌等头部品类的百万级营收形成明显断层。这类品类若仍在持续投入资源，需要确认是新品类处于孵化期，还是已经失去继续投放的价值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【数据事实】</w:t>
      </w:r>
      <w:r>
        <w:rPr>
          <w:rFonts w:ascii="Arial" w:hAnsi="Arial" w:eastAsia="等线" w:cs="Arial"/>
          <w:b w:val="0"/>
          <w:sz w:val="22"/>
        </w:rPr>
        <w:t>开心晨练团、功法学院、摄影美学三个品类本期首单营收均为0；产研测试品类本期首单营收约4.2元。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0"/>
        </w:rPr>
        <w:t>发现三：品类层面的涨跌两极分化、连续下行等趋势指标本期均无法评估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由于本期只有一个不完整月，规则R5（核心品类下行趋势）、R6（增长一致性）、R8（涨跌两极分化）、R9（系统性下跌）均要求至少3个连续完整月的数据才能产出判定，本期这些规则均没有可用样本，不能得出品类是否在系统性下行或分化的结论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【规则结论】</w:t>
      </w:r>
      <w:r>
        <w:rPr>
          <w:rFonts w:ascii="Arial" w:hAnsi="Arial" w:eastAsia="等线" w:cs="Arial"/>
          <w:b w:val="0"/>
          <w:sz w:val="22"/>
        </w:rPr>
        <w:t>R5、R6、R8、R9本期均无判定结果，原因是数据不满足"连续多个完整月"的前提条件。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规则诊断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数据缺口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观察期仅29天、非完整自然月，R5（核心品类下行趋势）、R6（增长一致性）、R8（涨跌两极分化）、R9（系统性下跌）均需要至少3个连续完整月数据，本期无法评估，需补充至少3个完整月的历史数据才能进行趋势判断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缺少品类经营类型标签（如"获客型"、"深耕型"），无法对品类角色进行经营分类分析。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6"/>
        </w:rPr>
        <w:t>第三屏 · 获客成本信号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成本信号总览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持续上行渠道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由于观察期仅覆盖单一不完整月，无法形成连续3个完整月的CAC率序列，本期不产出"持续上行渠道"清单（见下方"数据缺口"）。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关键发现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0"/>
        </w:rPr>
        <w:t>发现一：本期约六成渠道有可计算的CAC率，成本效率在渠道间差异明显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2552个渠道中有1614个渠道本期产生了有效CAC率数据（其余渠道因线索或成交为0等原因无法计算）。在成本规模较大（成本&gt;5万）的581个渠道中，CAC率中位数约2.32，但最高可达22.39，渠道间的获客成本效率差异较大，头部与尾部渠道的成本表现并不均衡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【数据事实】</w:t>
      </w:r>
      <w:r>
        <w:rPr>
          <w:rFonts w:ascii="Arial" w:hAnsi="Arial" w:eastAsia="等线" w:cs="Arial"/>
          <w:b w:val="0"/>
          <w:sz w:val="22"/>
        </w:rPr>
        <w:t>本期共1614个渠道产生有效CAC率数据（渠道总数2552个）。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【数据事实】</w:t>
      </w:r>
      <w:r>
        <w:rPr>
          <w:rFonts w:ascii="Arial" w:hAnsi="Arial" w:eastAsia="等线" w:cs="Arial"/>
          <w:b w:val="0"/>
          <w:sz w:val="22"/>
        </w:rPr>
        <w:t>成本规模&gt;5万的581个渠道中，CAC率中位数约2.32，最高约22.39（渠道：视频号9.9-蔚蓝-79225352-7月17日）。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0"/>
        </w:rPr>
        <w:t>发现二：CAC率是否处于上升趋势本期无法判断，仅能看到单月截面差异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规则R36（CAC连续上升）与R37（CAC环比跳升）都需要至少两个连续完整月数据才能计算环比变化，本期只有一个不完整月，两条规则均没有可用样本。当前能看到的只是同一个月内不同渠道之间CAC率的高低差异，不能理解为某个渠道的成本"正在上升"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【规则结论】</w:t>
      </w:r>
      <w:r>
        <w:rPr>
          <w:rFonts w:ascii="Arial" w:hAnsi="Arial" w:eastAsia="等线" w:cs="Arial"/>
          <w:b w:val="0"/>
          <w:sz w:val="22"/>
        </w:rPr>
        <w:t>R36、R37本期均无判定结果，原因是数据不满足"连续完整月环比"的前提条件。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优先复核清单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由于本期无法评估CAC率的月度变化趋势，暂无法给出"持续上行且单期跳升"的优先复核渠道清单。建议在积累至少2-3个完整月数据后，按R36/R37口径重新评估。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数据缺口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观察期仅29天、非完整自然月，R36（CAC连续上升）、R37（CAC环比跳升）均需要至少2-3个连续完整月数据计算环比，本期无法评估任何渠道的成本变化趋势，只能呈现单月截面对比。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缺少渠道类型映射表（`acquisition_source_type`），无法判断高CAC率渠道属于外部付费、内部流转或自然获客，影响成本压力来源的进一步定位。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6"/>
        </w:rPr>
        <w:t>第四屏 · 投放有效性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检查结果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关键发现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0"/>
        </w:rPr>
        <w:t>发现：按ROI&lt;0.5口径估算，本期低效消耗占比明显偏高，但规则本身因数据不完整未能正式判定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若手动套用R61（无效投放P0）的判定口径（ROI&lt;0.5渠道消耗占比&gt;0.20），本期该比例约为63.9%，远超20%的阈值。但由于观察期仅29天、不构成完整自然月，规则引擎按其设计仅评估"完整月"数据，本期没有产出正式的R61判定结果，因此这一比例只能作为参考性估算，不能等同于"规则命中"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【数据事实】</w:t>
      </w:r>
      <w:r>
        <w:rPr>
          <w:rFonts w:ascii="Arial" w:hAnsi="Arial" w:eastAsia="等线" w:cs="Arial"/>
          <w:b w:val="0"/>
          <w:sz w:val="22"/>
        </w:rPr>
        <w:t>按ROI&lt;0.5口径估算，本期低效渠道消耗约64,506,290，占全渠道总成本约63.9%。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【规则结论】</w:t>
      </w:r>
      <w:r>
        <w:rPr>
          <w:rFonts w:ascii="Arial" w:hAnsi="Arial" w:eastAsia="等线" w:cs="Arial"/>
          <w:b w:val="0"/>
          <w:sz w:val="22"/>
        </w:rPr>
        <w:t>R61本期未产出正式判定结果，因数据不满足"完整自然月"前提。上述63.9%为脱离规则引擎的手动估算，供参考。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覆盖边界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本屏的估算只覆盖低效消耗占比这一项风险，且由于数据不完整、未经过规则引擎正式判定，其严谨性低于规则自动产出的结论。渠道集中度、付费与自然流量结构、渠道级利润、品类×渠道依赖度都不在本项检查范围内，不能由此推出投放整体没有问题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数据缺口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观察期仅29天、非完整自然月，R61规则未能正式运行，本屏63.9%的低效消耗占比为手动估算而非规则命中结果，可信度低于完整月数据下的正式判定。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缺少渠道类型映射表（acquisition_source_type），无法区分外部付费、内部流转、自然获客等渠道类型结构。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缺少月×品类×渠道的交叉聚合数据，无法分析品类对渠道的依赖度。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缺少客户级数据，无法分析转介绍、内部流转等获客路径。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6"/>
        </w:rPr>
        <w:t>第五屏 · 总结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核心结论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0"/>
        </w:rPr>
        <w:t>结论一：本期数据能支撑的是单月截面判断，尚不能形成任何趋势性结论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已确认的事实是，观察期仅覆盖2026-07-01至2026-07-29共29天，不构成完整自然月。这直接导致规则引擎中依赖"连续多个完整月"的趋势类规则（R5核心品类下行趋势、R6增长一致性、R8涨跌两极分化、R9系统性下跌、R36 CAC连续上升、R37 CAC环比跳升）全部没有产出判定结果。当前所有结论都只能基于单月截面数据，不能判断任何指标是在变好还是变差。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证据：R5/R6/R8/R9/R36/R37本期均无判定结果，原因是数据不满足"连续完整月"前提。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0"/>
        </w:rPr>
        <w:t>结论二：从单月截面看，投放效率信号偏弱，但结论强度受限于数据完整性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已确认的事实是，按ROI&lt;0.5口径手动估算，本期低效渠道消耗占全渠道成本约63.9%，明显偏高；但由于该口径下的正式规则R61未能运行，这一比例的严谨性弱于规则自动判定的结果，只能作为需要关注的信号，不能视为确定性结论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证据：ROI&lt;0.5渠道消耗占比手动估算为63.9%；R61本期未产出正式判定。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0"/>
        </w:rPr>
        <w:t>结论三：品类收入结构相对分散，未见单一品类过度集中的风险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已确认的事实是，太极品类以约29.2%的营收占比排名第一，Top3品类合计占比约48.2%，均未达到R3、R4定义的集中或过度分散阈值。收入没有过度依赖单一品类，但也说明目前没有一个品类能独立支撑整体规模。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证据：R3未命中（Top1占比29.2%&lt;0.50）；R4未命中（Top3占比48.2%，未低于0.50）。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已确认风险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优先核查顺序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第一优先：补充至少2-3个连续完整自然月的历史数据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当前最大的限制不是任何单一业务问题，而是数据观察窗口过短、且不构成完整月，导致R5/R6/R8/R9/R36/R37等全部趋势类规则无法运行。这是后续能否做出可靠经营判断的前提条件。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第二优先：核实ROI&lt;0.5渠道消耗占比63.9%这一信号是否具有持续性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本期手动估算的低效消耗占比明显偏高，需要在数据补齐后用正式的R61规则重新验证，确认这是当月特有现象还是持续性问题。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第三优先：补齐"首单正式营退款流水"字段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源数据中该字段整体缺失，本次按0处理，可能导致净营收被高估，需要与业务方确认该字段的真实获取方式。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数据缺口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观察期仅2026-07-01至2026-07-29共29天，不构成完整自然月，导致R5、R6、R8、R9、R36、R37等全部依赖连续完整月的趋势类规则本期均无法评估，是本报告最主要的局限。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源数据缺少"首单正式营退款流水"字段，本次按0处理（视为无退款数据），可能低估退款对净营收的影响。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缺少渠道类型映射表（`acquisition_source_type`），无法判断成本压力或低效消耗的渠道属于外部付费、内部流转还是自然获客，影响问题根因定位。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缺少月×品类×渠道的交叉聚合数据，无法分析品类对渠道的依赖度。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缺少客户级数据（`customer_id`、`referral_*`），首单订单数仅能作为首购用户代理，无法分析复购、转介绍等客户价值指标，影响对收入质量的全景判断。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">
    <w:lvl w:ilvl="0">
      <w:numFmt w:val="bullet"/>
      <w:lvlText w:val="•"/>
      <w:suff w:val="tab"/>
      <w:pPr>
        <w:ind w:left="360" w:hanging="360"/>
      </w:pPr>
      <w:rPr>
        <w:color w:val="3370FF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