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C07E4" w14:textId="1005E4A3" w:rsidR="001308B7" w:rsidRDefault="5D19BAFB" w:rsidP="1D012FE1">
      <w:pPr>
        <w:spacing w:after="114" w:line="259" w:lineRule="auto"/>
        <w:jc w:val="center"/>
      </w:pPr>
      <w:r>
        <w:rPr>
          <w:noProof/>
        </w:rPr>
        <w:drawing>
          <wp:inline distT="0" distB="0" distL="0" distR="0" wp14:anchorId="2109637E" wp14:editId="2ED53ACF">
            <wp:extent cx="2561807" cy="1911825"/>
            <wp:effectExtent l="0" t="0" r="0" b="0"/>
            <wp:docPr id="1236611107" name="Picture 123661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807" cy="19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C81C" w14:textId="3F97852B" w:rsidR="001308B7" w:rsidRDefault="0DB86971" w:rsidP="1D012FE1">
      <w:pPr>
        <w:spacing w:after="114" w:line="259" w:lineRule="auto"/>
        <w:ind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color w:val="000000" w:themeColor="text1"/>
        </w:rPr>
        <w:t>SÃO PAULO TECH SCHOOL</w:t>
      </w:r>
    </w:p>
    <w:p w14:paraId="70839392" w14:textId="336093B1" w:rsidR="001308B7" w:rsidRDefault="0DB86971" w:rsidP="1D012FE1">
      <w:pPr>
        <w:spacing w:after="114" w:line="259" w:lineRule="auto"/>
        <w:ind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color w:val="000000" w:themeColor="text1"/>
        </w:rPr>
        <w:t>Pesquisa e Inovação II</w:t>
      </w:r>
    </w:p>
    <w:p w14:paraId="0ED15279" w14:textId="64270245" w:rsidR="001308B7" w:rsidRDefault="0DB86971" w:rsidP="1D012FE1">
      <w:pPr>
        <w:spacing w:after="114" w:line="259" w:lineRule="auto"/>
        <w:ind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color w:val="000000" w:themeColor="text1"/>
        </w:rPr>
        <w:t>2º Semestre</w:t>
      </w:r>
    </w:p>
    <w:p w14:paraId="691EF8F6" w14:textId="5157D8FA" w:rsidR="001308B7" w:rsidRDefault="001308B7" w:rsidP="1D012FE1">
      <w:pPr>
        <w:spacing w:after="114" w:line="259" w:lineRule="auto"/>
        <w:ind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A50239D" w14:textId="6023BC4B" w:rsidR="001308B7" w:rsidRDefault="0DB86971" w:rsidP="1D012FE1">
      <w:pPr>
        <w:spacing w:after="184" w:line="259" w:lineRule="auto"/>
        <w:ind w:left="748" w:hanging="10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6A6A2748" w14:textId="053127D4" w:rsidR="001308B7" w:rsidRDefault="0DB86971" w:rsidP="1D012FE1">
      <w:pPr>
        <w:spacing w:after="184" w:line="259" w:lineRule="auto"/>
        <w:ind w:left="748" w:hanging="10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96E734F" w14:textId="08613042" w:rsidR="001308B7" w:rsidRDefault="0DB86971" w:rsidP="1D012FE1">
      <w:pPr>
        <w:spacing w:after="33" w:line="259" w:lineRule="auto"/>
        <w:ind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r w:rsidRPr="1D012FE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Análise e Conscientização da Vacinação no Estado de São Paulo</w:t>
      </w:r>
      <w:r w:rsidR="224D4D39" w:rsidRPr="1D012FE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311F62B8" w14:textId="2FB69732" w:rsidR="001308B7" w:rsidRDefault="0DB86971" w:rsidP="1D012FE1">
      <w:pPr>
        <w:spacing w:after="194" w:line="259" w:lineRule="auto"/>
        <w:ind w:left="281" w:right="273" w:hanging="1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1D012FE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ImmunoData</w:t>
      </w:r>
      <w:proofErr w:type="spellEnd"/>
      <w:r w:rsidRPr="1D012FE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Grupo 5</w:t>
      </w:r>
    </w:p>
    <w:p w14:paraId="3133F2E4" w14:textId="1C263944" w:rsidR="001308B7" w:rsidRDefault="0DB86971" w:rsidP="1D012FE1">
      <w:pPr>
        <w:spacing w:after="194" w:line="259" w:lineRule="auto"/>
        <w:ind w:left="281" w:right="273" w:hanging="1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D012F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EF5DE05" w14:textId="06B5E5B9" w:rsidR="001308B7" w:rsidRDefault="001308B7" w:rsidP="1D012FE1">
      <w:pPr>
        <w:spacing w:after="193" w:line="259" w:lineRule="auto"/>
        <w:ind w:hanging="1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770048" w14:textId="1AC3DA2D" w:rsidR="001308B7" w:rsidRDefault="0DB86971" w:rsidP="1D012FE1">
      <w:pPr>
        <w:ind w:left="10" w:right="4" w:hanging="10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color w:val="000000" w:themeColor="text1"/>
        </w:rPr>
        <w:t xml:space="preserve">Cynthia Fernandes Ferro </w:t>
      </w:r>
      <w:proofErr w:type="spellStart"/>
      <w:r w:rsidRPr="1D012FE1">
        <w:rPr>
          <w:rFonts w:ascii="Times New Roman" w:eastAsia="Times New Roman" w:hAnsi="Times New Roman" w:cs="Times New Roman"/>
          <w:color w:val="000000" w:themeColor="text1"/>
        </w:rPr>
        <w:t>Angi</w:t>
      </w:r>
      <w:proofErr w:type="spellEnd"/>
      <w:r w:rsidRPr="1D012FE1">
        <w:rPr>
          <w:rFonts w:ascii="Times New Roman" w:eastAsia="Times New Roman" w:hAnsi="Times New Roman" w:cs="Times New Roman"/>
          <w:color w:val="000000" w:themeColor="text1"/>
        </w:rPr>
        <w:t xml:space="preserve"> | RA: 01242099</w:t>
      </w:r>
    </w:p>
    <w:p w14:paraId="51E3AF08" w14:textId="57B0913E" w:rsidR="001308B7" w:rsidRDefault="0DB86971" w:rsidP="1D012FE1">
      <w:pPr>
        <w:ind w:left="10" w:right="4" w:hanging="10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color w:val="000000" w:themeColor="text1"/>
        </w:rPr>
        <w:t>Fábiam Damaceno da Silva | RA: 01242039</w:t>
      </w:r>
    </w:p>
    <w:p w14:paraId="5EA0E4A6" w14:textId="18FD7126" w:rsidR="001308B7" w:rsidRDefault="0DB86971" w:rsidP="1D012FE1">
      <w:pPr>
        <w:ind w:right="4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color w:val="000000" w:themeColor="text1"/>
        </w:rPr>
        <w:t>Felippe Santos Dantas de Matos | RA: 01242121</w:t>
      </w:r>
    </w:p>
    <w:p w14:paraId="09361E4B" w14:textId="4B7F8E1F" w:rsidR="001308B7" w:rsidRDefault="0DB86971" w:rsidP="1D012FE1">
      <w:pPr>
        <w:ind w:left="10" w:right="4" w:hanging="10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color w:val="000000" w:themeColor="text1"/>
        </w:rPr>
        <w:t>Julia Santana Kim | RA: 01242116</w:t>
      </w:r>
    </w:p>
    <w:p w14:paraId="159CC7A2" w14:textId="2ABFA84E" w:rsidR="001308B7" w:rsidRDefault="0DB86971" w:rsidP="1D012FE1">
      <w:pPr>
        <w:ind w:left="10" w:right="4" w:hanging="10"/>
        <w:jc w:val="righ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012FE1">
        <w:rPr>
          <w:rFonts w:ascii="Times New Roman" w:eastAsia="Times New Roman" w:hAnsi="Times New Roman" w:cs="Times New Roman"/>
          <w:color w:val="000000" w:themeColor="text1"/>
        </w:rPr>
        <w:t>Linya</w:t>
      </w:r>
      <w:proofErr w:type="spellEnd"/>
      <w:r w:rsidRPr="1D012FE1">
        <w:rPr>
          <w:rFonts w:ascii="Times New Roman" w:eastAsia="Times New Roman" w:hAnsi="Times New Roman" w:cs="Times New Roman"/>
          <w:color w:val="000000" w:themeColor="text1"/>
        </w:rPr>
        <w:t xml:space="preserve"> Alves Mendonça | RA: 01242030</w:t>
      </w:r>
    </w:p>
    <w:p w14:paraId="754A7977" w14:textId="6B1B75E5" w:rsidR="001308B7" w:rsidRDefault="0DB86971" w:rsidP="1D012FE1">
      <w:pPr>
        <w:ind w:left="10" w:right="4" w:hanging="10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color w:val="000000" w:themeColor="text1"/>
        </w:rPr>
        <w:t>Mateus Roque Pereira | RA: 01242015</w:t>
      </w:r>
    </w:p>
    <w:p w14:paraId="66334C33" w14:textId="66320526" w:rsidR="001308B7" w:rsidRDefault="001308B7" w:rsidP="1D012FE1">
      <w:pPr>
        <w:ind w:left="10" w:right="4"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37787B" w14:textId="4D893CA2" w:rsidR="001308B7" w:rsidRDefault="001308B7" w:rsidP="1D012FE1">
      <w:pPr>
        <w:ind w:left="10" w:right="4"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A19FB" w14:textId="771F7236" w:rsidR="001308B7" w:rsidRDefault="0DB86971" w:rsidP="1D012FE1">
      <w:pPr>
        <w:ind w:left="10" w:right="4"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color w:val="000000" w:themeColor="text1"/>
        </w:rPr>
        <w:t>São Paulo</w:t>
      </w:r>
    </w:p>
    <w:p w14:paraId="1FB8D294" w14:textId="2A95D93C" w:rsidR="001308B7" w:rsidRDefault="0DB86971" w:rsidP="1D012FE1">
      <w:pPr>
        <w:ind w:left="10" w:right="4"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012FE1">
        <w:rPr>
          <w:rFonts w:ascii="Times New Roman" w:eastAsia="Times New Roman" w:hAnsi="Times New Roman" w:cs="Times New Roman"/>
          <w:color w:val="000000" w:themeColor="text1"/>
        </w:rPr>
        <w:t>2025</w:t>
      </w:r>
    </w:p>
    <w:p w14:paraId="46D8F59D" w14:textId="08F0C843" w:rsidR="001308B7" w:rsidRDefault="001308B7" w:rsidP="1D012FE1">
      <w:pPr>
        <w:ind w:left="10" w:right="4"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5FF173D" w14:textId="031DFAB9" w:rsidR="001308B7" w:rsidRDefault="5D169C79" w:rsidP="1D012FE1">
      <w:pPr>
        <w:ind w:left="10" w:right="4" w:hanging="1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1D012FE1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>Sumário</w:t>
      </w:r>
    </w:p>
    <w:sdt>
      <w:sdtPr>
        <w:id w:val="1167941302"/>
        <w:docPartObj>
          <w:docPartGallery w:val="Table of Contents"/>
          <w:docPartUnique/>
        </w:docPartObj>
      </w:sdtPr>
      <w:sdtContent>
        <w:p w14:paraId="0CCDE1C3" w14:textId="24B247E8" w:rsidR="001308B7" w:rsidRDefault="00000000" w:rsidP="1D012FE1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669097195">
            <w:r w:rsidR="1D012FE1" w:rsidRPr="1D012FE1">
              <w:rPr>
                <w:rStyle w:val="Hyperlink"/>
              </w:rPr>
              <w:t>Contexto</w:t>
            </w:r>
            <w:r>
              <w:tab/>
            </w:r>
            <w:r>
              <w:fldChar w:fldCharType="begin"/>
            </w:r>
            <w:r>
              <w:instrText>PAGEREF _Toc1669097195 \h</w:instrText>
            </w:r>
            <w:r>
              <w:fldChar w:fldCharType="separate"/>
            </w:r>
            <w:r w:rsidR="00ED7EED">
              <w:rPr>
                <w:noProof/>
              </w:rPr>
              <w:t>3</w:t>
            </w:r>
            <w:r>
              <w:fldChar w:fldCharType="end"/>
            </w:r>
          </w:hyperlink>
        </w:p>
        <w:p w14:paraId="4114C6A9" w14:textId="57CC3ACD" w:rsidR="001308B7" w:rsidRDefault="1D012FE1" w:rsidP="1D012FE1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672757335">
            <w:r w:rsidRPr="1D012FE1">
              <w:rPr>
                <w:rStyle w:val="Hyperlink"/>
              </w:rPr>
              <w:t>Objetivo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_Toc672757335 \h</w:instrText>
            </w:r>
            <w:r w:rsidR="00000000">
              <w:fldChar w:fldCharType="separate"/>
            </w:r>
            <w:r w:rsidR="00ED7EED">
              <w:rPr>
                <w:noProof/>
              </w:rPr>
              <w:t>4</w:t>
            </w:r>
            <w:r w:rsidR="00000000">
              <w:fldChar w:fldCharType="end"/>
            </w:r>
          </w:hyperlink>
        </w:p>
        <w:p w14:paraId="11935AA2" w14:textId="71847789" w:rsidR="001308B7" w:rsidRDefault="1D012FE1" w:rsidP="1D012FE1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2118332292">
            <w:r w:rsidRPr="1D012FE1">
              <w:rPr>
                <w:rStyle w:val="Hyperlink"/>
              </w:rPr>
              <w:t>Justificativa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_Toc2118332292 \h</w:instrText>
            </w:r>
            <w:r w:rsidR="00000000">
              <w:fldChar w:fldCharType="separate"/>
            </w:r>
            <w:r w:rsidR="00ED7EED">
              <w:rPr>
                <w:noProof/>
              </w:rPr>
              <w:t>5</w:t>
            </w:r>
            <w:r w:rsidR="00000000">
              <w:fldChar w:fldCharType="end"/>
            </w:r>
          </w:hyperlink>
        </w:p>
        <w:p w14:paraId="1BAC1CE4" w14:textId="26E794F7" w:rsidR="001308B7" w:rsidRDefault="1D012FE1" w:rsidP="1D012FE1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2143901934">
            <w:r w:rsidRPr="1D012FE1">
              <w:rPr>
                <w:rStyle w:val="Hyperlink"/>
              </w:rPr>
              <w:t>Escopo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_Toc2143901934 \h</w:instrText>
            </w:r>
            <w:r w:rsidR="00000000">
              <w:fldChar w:fldCharType="separate"/>
            </w:r>
            <w:r w:rsidR="00ED7EED">
              <w:rPr>
                <w:noProof/>
              </w:rPr>
              <w:t>5</w:t>
            </w:r>
            <w:r w:rsidR="00000000">
              <w:fldChar w:fldCharType="end"/>
            </w:r>
          </w:hyperlink>
        </w:p>
        <w:p w14:paraId="4A809B47" w14:textId="4E489EB6" w:rsidR="001308B7" w:rsidRDefault="1D012FE1" w:rsidP="1D012FE1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102900236">
            <w:r w:rsidRPr="1D012FE1">
              <w:rPr>
                <w:rStyle w:val="Hyperlink"/>
              </w:rPr>
              <w:t>Bibliografia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_Toc1102900236 \h</w:instrText>
            </w:r>
            <w:r w:rsidR="00000000">
              <w:fldChar w:fldCharType="separate"/>
            </w:r>
            <w:r w:rsidR="00ED7EED">
              <w:rPr>
                <w:noProof/>
              </w:rPr>
              <w:t>6</w:t>
            </w:r>
            <w:r w:rsidR="00000000">
              <w:fldChar w:fldCharType="end"/>
            </w:r>
          </w:hyperlink>
          <w:r w:rsidR="00000000">
            <w:fldChar w:fldCharType="end"/>
          </w:r>
        </w:p>
      </w:sdtContent>
    </w:sdt>
    <w:p w14:paraId="58229371" w14:textId="57A37EBA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7612653E" w14:textId="040173C5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29D7F8C5" w14:textId="25B51C94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7F8A04B8" w14:textId="52B88857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6249EB3F" w14:textId="41D38CE3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01512B87" w14:textId="611AAFDD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31DD5448" w14:textId="60C28359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6D9151D4" w14:textId="6BCB8889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7A72E94B" w14:textId="12FE6499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62034E14" w14:textId="3121AD93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4E6E0D76" w14:textId="7A6A6335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7B05ED5C" w14:textId="45926652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572778C3" w14:textId="290593B3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4C6A2087" w14:textId="5023698F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16D18EE9" w14:textId="22E8CF84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0AA299CC" w14:textId="4DB7D905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5A0D2972" w14:textId="6626F06B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1D8C6A55" w14:textId="0587D8E1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7FE5A968" w14:textId="21B36CFB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46C1FE7D" w14:textId="58DEBFC3" w:rsidR="001308B7" w:rsidRDefault="001308B7" w:rsidP="1D012FE1">
      <w:pPr>
        <w:ind w:left="10" w:right="4" w:hanging="10"/>
        <w:rPr>
          <w:rFonts w:ascii="Times New Roman" w:eastAsia="Times New Roman" w:hAnsi="Times New Roman" w:cs="Times New Roman"/>
          <w:color w:val="000000" w:themeColor="text1"/>
        </w:rPr>
      </w:pPr>
    </w:p>
    <w:p w14:paraId="1E207724" w14:textId="499E0BBA" w:rsidR="001308B7" w:rsidRPr="00727865" w:rsidRDefault="1E05A6B1" w:rsidP="1D012FE1">
      <w:pPr>
        <w:pStyle w:val="Heading1"/>
        <w:spacing w:line="360" w:lineRule="auto"/>
        <w:jc w:val="both"/>
      </w:pPr>
      <w:bookmarkStart w:id="0" w:name="_Toc1669097195"/>
      <w:r w:rsidRPr="00727865">
        <w:lastRenderedPageBreak/>
        <w:t>Contexto</w:t>
      </w:r>
      <w:bookmarkEnd w:id="0"/>
    </w:p>
    <w:p w14:paraId="045101B7" w14:textId="5E378056" w:rsidR="61C2121C" w:rsidRDefault="61C2121C" w:rsidP="1D012FE1">
      <w:pPr>
        <w:spacing w:line="360" w:lineRule="auto"/>
        <w:ind w:firstLine="708"/>
        <w:jc w:val="both"/>
      </w:pPr>
      <w:r>
        <w:t>O Marquês de Barbacena foi o precursor de introduzir a vacinação no Brasil, em 1804, porém a propaga</w:t>
      </w:r>
      <w:r w:rsidR="2C07CB9C">
        <w:t xml:space="preserve">ção da mesma só começou após alguns anos. </w:t>
      </w:r>
      <w:r w:rsidR="50226B10">
        <w:t xml:space="preserve">Já no início do século XX, por conta do saneamento básico precário, começaram muitos casos de doenças se espalhando, </w:t>
      </w:r>
      <w:r w:rsidR="43C110F5">
        <w:t>como varíola, febre amarela e peste. Oswaldo Cruz, respons</w:t>
      </w:r>
      <w:r w:rsidR="56905731">
        <w:t xml:space="preserve">ável pela estruturação da saúde pública, </w:t>
      </w:r>
      <w:r w:rsidR="685124F6">
        <w:t>tomou como medida a obrigatoriedade da vacinação, o que iniciou uma revolta, conhecida como “A Revolta da Vacina”</w:t>
      </w:r>
      <w:r w:rsidR="72469FBB">
        <w:t xml:space="preserve">, visto que a população não conhecia os efeitos colaterais da injeção. A mídia também ficou contra essa medida, </w:t>
      </w:r>
      <w:r w:rsidR="0E3F6EEA">
        <w:t xml:space="preserve">publicando </w:t>
      </w:r>
      <w:r w:rsidR="2366E3F6">
        <w:t xml:space="preserve">charges e artigos contra a medida tomada pelo então </w:t>
      </w:r>
      <w:r w:rsidR="17F715A0">
        <w:t>Diretor Geral da Saúde Pública</w:t>
      </w:r>
      <w:r w:rsidR="038098CB">
        <w:t xml:space="preserve">, </w:t>
      </w:r>
      <w:r w:rsidR="17F715A0">
        <w:t xml:space="preserve">como um Ministro da Saúde </w:t>
      </w:r>
      <w:proofErr w:type="gramStart"/>
      <w:r w:rsidR="17F715A0">
        <w:t>nos dias atuais</w:t>
      </w:r>
      <w:proofErr w:type="gramEnd"/>
      <w:r w:rsidR="17F715A0">
        <w:t xml:space="preserve">. </w:t>
      </w:r>
    </w:p>
    <w:p w14:paraId="4B67CAC2" w14:textId="6C078932" w:rsidR="1271F640" w:rsidRDefault="1271F640" w:rsidP="1D012FE1">
      <w:pPr>
        <w:spacing w:line="360" w:lineRule="auto"/>
        <w:ind w:firstLine="708"/>
        <w:jc w:val="both"/>
      </w:pPr>
      <w:r>
        <w:t xml:space="preserve">Aos poucos, a vacina foi mais aceita no país e, em </w:t>
      </w:r>
      <w:r w:rsidR="793FAAA0">
        <w:t>1973, foi criado o PNI (Plano Nacional de Imunização)</w:t>
      </w:r>
      <w:r w:rsidR="3974E969">
        <w:t xml:space="preserve">, baseado no Programa de Imunização da Poliomielite, na campanha que durou 10 anos para a erradicação </w:t>
      </w:r>
      <w:r w:rsidR="46AA6F10">
        <w:t xml:space="preserve">da varíola e </w:t>
      </w:r>
      <w:r w:rsidR="3EA4DA89">
        <w:t xml:space="preserve">os planos de imunização de forma global, que auxiliou outros países a </w:t>
      </w:r>
      <w:r w:rsidR="7828561E">
        <w:t xml:space="preserve">excluírem algumas enfermidades transmissíveis. </w:t>
      </w:r>
    </w:p>
    <w:p w14:paraId="09DF1456" w14:textId="10A07CAA" w:rsidR="54FBBAC7" w:rsidRDefault="54FBBAC7" w:rsidP="1D012FE1">
      <w:pPr>
        <w:spacing w:line="360" w:lineRule="auto"/>
        <w:ind w:firstLine="708"/>
        <w:jc w:val="both"/>
      </w:pPr>
      <w:r>
        <w:t>Ao longo dos anos, junto ao Programa, a adesão às vacinas foi aumentando, e no</w:t>
      </w:r>
      <w:r w:rsidR="07B93882">
        <w:t xml:space="preserve">s anos 90, alcançou coberturas de 95% ou mais, a meta necessária para que as doenças sejam erradicadas. </w:t>
      </w:r>
      <w:r w:rsidR="60A83BC2">
        <w:t>Essa grande adesão colaborou com pesquisas e avanço tecnológico da vacinação. Porém, em 2016, começaram sinais de hesitação vacin</w:t>
      </w:r>
      <w:r w:rsidR="5D3BE9D7">
        <w:t xml:space="preserve">al e, com consequência disso, a queda na cobertura vacinal em todo o país. </w:t>
      </w:r>
      <w:r w:rsidR="52305FD6">
        <w:t xml:space="preserve">A hesitação vacinal também abrange </w:t>
      </w:r>
      <w:r w:rsidR="68302827">
        <w:t xml:space="preserve">a população que atrasa vacinação, tanto de si quanto de seus filhos. </w:t>
      </w:r>
    </w:p>
    <w:p w14:paraId="5252C5A4" w14:textId="5282EC59" w:rsidR="24B0083A" w:rsidRDefault="24B0083A" w:rsidP="1D012FE1">
      <w:pPr>
        <w:spacing w:line="360" w:lineRule="auto"/>
        <w:ind w:firstLine="708"/>
        <w:jc w:val="both"/>
      </w:pPr>
      <w:r>
        <w:t>A hesitação vacinal partiu de diversos fatores,</w:t>
      </w:r>
      <w:r w:rsidR="78FDFAF6">
        <w:t xml:space="preserve"> falta de confiança nas vacinas, nas empresas fornecedoras e m</w:t>
      </w:r>
      <w:r w:rsidR="61D44726">
        <w:t>esmo no sistema público de saúde,</w:t>
      </w:r>
      <w:r w:rsidR="11F2A46C">
        <w:t xml:space="preserve"> como a doença está considerada erradicada, as pessoas minimizam a possibilidade de pegar a doença</w:t>
      </w:r>
      <w:r w:rsidR="273FA45C">
        <w:t>, o famoso “comigo não vai acontecer”</w:t>
      </w:r>
      <w:r w:rsidR="42E488E8">
        <w:t xml:space="preserve">. </w:t>
      </w:r>
    </w:p>
    <w:p w14:paraId="74129F8C" w14:textId="2B69D3AF" w:rsidR="42E488E8" w:rsidRDefault="42E488E8" w:rsidP="1D012FE1">
      <w:pPr>
        <w:spacing w:line="360" w:lineRule="auto"/>
        <w:ind w:firstLine="708"/>
        <w:jc w:val="both"/>
      </w:pPr>
      <w:r>
        <w:t xml:space="preserve">O maior acesso a informações, por meio da internet, também é um ponto relevante para essa situação. </w:t>
      </w:r>
      <w:r w:rsidR="0ED607EF">
        <w:t>Assim como no início do século XX, na Revolta da Vacina, a mí</w:t>
      </w:r>
      <w:r w:rsidR="0FD05B51">
        <w:t xml:space="preserve">dia contrária à vacinação, dissemina informações sem base científica que, para as pessoas que já estão </w:t>
      </w:r>
      <w:r w:rsidR="6F05B4D7">
        <w:t>com algumas questões quanto às vacinas se tornem hesitantes e</w:t>
      </w:r>
      <w:r w:rsidR="3B0AF138">
        <w:t xml:space="preserve"> </w:t>
      </w:r>
      <w:r w:rsidR="3B0AF138">
        <w:lastRenderedPageBreak/>
        <w:t>se recusam a tomar vacinas ou levar seus filhos para as vacinas programadas. Essas informações sem base científica e que possuem inverdades</w:t>
      </w:r>
      <w:r w:rsidR="5B003067">
        <w:t>, as “</w:t>
      </w:r>
      <w:r w:rsidR="5B003067" w:rsidRPr="1D012FE1">
        <w:rPr>
          <w:i/>
          <w:iCs/>
        </w:rPr>
        <w:t xml:space="preserve">fake </w:t>
      </w:r>
      <w:proofErr w:type="spellStart"/>
      <w:r w:rsidR="5B003067" w:rsidRPr="1D012FE1">
        <w:rPr>
          <w:i/>
          <w:iCs/>
        </w:rPr>
        <w:t>news</w:t>
      </w:r>
      <w:proofErr w:type="spellEnd"/>
      <w:r w:rsidR="5B003067" w:rsidRPr="1D012FE1">
        <w:rPr>
          <w:i/>
          <w:iCs/>
        </w:rPr>
        <w:t>”</w:t>
      </w:r>
      <w:r w:rsidR="5B003067">
        <w:t>, vem se espalhando</w:t>
      </w:r>
      <w:r w:rsidR="775ACF4C">
        <w:t xml:space="preserve"> com ajuda dos </w:t>
      </w:r>
      <w:r w:rsidR="68772062">
        <w:t>meios de comunicação mais facilitados como redes sociais e aplicativos de mensagens instantâneas.</w:t>
      </w:r>
    </w:p>
    <w:p w14:paraId="435A9A0F" w14:textId="19085FC3" w:rsidR="68772062" w:rsidRDefault="68772062" w:rsidP="1D012FE1">
      <w:pPr>
        <w:spacing w:line="360" w:lineRule="auto"/>
        <w:ind w:firstLine="708"/>
        <w:jc w:val="both"/>
      </w:pPr>
      <w:r>
        <w:t xml:space="preserve">Durante a pandemia de COVID-19, houve uma crescente ainda maior dessa disseminação de informações, visto que </w:t>
      </w:r>
      <w:r w:rsidR="65395F60">
        <w:t xml:space="preserve">a necessidade de encontrar uma cura ou frear o grande contágio da </w:t>
      </w:r>
      <w:r w:rsidR="231578B9">
        <w:t>doença que parou o mundo e foi causa de muitas mortes de forma rápida colocou e</w:t>
      </w:r>
      <w:r w:rsidR="5AE3348A">
        <w:t xml:space="preserve">m xeque a </w:t>
      </w:r>
      <w:r w:rsidR="43017BEF">
        <w:t>credibilidade e eficácia da vacina</w:t>
      </w:r>
      <w:r w:rsidR="4A084751">
        <w:t xml:space="preserve">. Essa falta de credibilidade trouxe à tona mais </w:t>
      </w:r>
      <w:r w:rsidR="4A084751" w:rsidRPr="1D012FE1">
        <w:rPr>
          <w:i/>
          <w:iCs/>
        </w:rPr>
        <w:t xml:space="preserve">fake </w:t>
      </w:r>
      <w:proofErr w:type="spellStart"/>
      <w:r w:rsidR="4A084751" w:rsidRPr="1D012FE1">
        <w:rPr>
          <w:i/>
          <w:iCs/>
        </w:rPr>
        <w:t>news</w:t>
      </w:r>
      <w:proofErr w:type="spellEnd"/>
      <w:r w:rsidR="4A084751" w:rsidRPr="1D012FE1">
        <w:rPr>
          <w:i/>
          <w:iCs/>
        </w:rPr>
        <w:t xml:space="preserve"> </w:t>
      </w:r>
      <w:r w:rsidR="6A1C4C2D" w:rsidRPr="1D012FE1">
        <w:t>não só quando às vacinas de COVID-19, mas também sobre as demais vacinas, colaborando de forma negativa com o PNI</w:t>
      </w:r>
      <w:r w:rsidR="1552A6E4" w:rsidRPr="1D012FE1">
        <w:t xml:space="preserve"> e, como consequência, a queda na cobertura vacinal.</w:t>
      </w:r>
    </w:p>
    <w:p w14:paraId="1C01E15E" w14:textId="3D66A43B" w:rsidR="3AFAB93E" w:rsidRDefault="3AFAB93E" w:rsidP="1D012FE1">
      <w:pPr>
        <w:spacing w:line="360" w:lineRule="auto"/>
        <w:ind w:firstLine="708"/>
        <w:jc w:val="both"/>
      </w:pPr>
      <w:r w:rsidRPr="1D012FE1">
        <w:t xml:space="preserve">Com a queda na vacinação, podemos começar a observar uma crescente nas doenças imunopreveníveis. Doenças </w:t>
      </w:r>
      <w:r w:rsidR="6BA45251" w:rsidRPr="1D012FE1">
        <w:t>como coqueluche e poliomielite</w:t>
      </w:r>
      <w:r w:rsidR="0A98AAA1" w:rsidRPr="1D012FE1">
        <w:t>, dadas como erradicadas, tiveram aumento nos casos</w:t>
      </w:r>
      <w:r w:rsidR="0BADAE16" w:rsidRPr="1D012FE1">
        <w:t>. Nos últimos 3 anos a coqueluche</w:t>
      </w:r>
      <w:r w:rsidR="3ECF898D" w:rsidRPr="1D012FE1">
        <w:t>,</w:t>
      </w:r>
      <w:r w:rsidR="0BADAE16" w:rsidRPr="1D012FE1">
        <w:t xml:space="preserve"> por exemplo, teve um aumento de ap</w:t>
      </w:r>
      <w:r w:rsidR="1361A954" w:rsidRPr="1D012FE1">
        <w:t>roximadamente 500% de casos</w:t>
      </w:r>
      <w:r w:rsidR="558C3D27" w:rsidRPr="1D012FE1">
        <w:t xml:space="preserve">. Mesmo sendo um número muito pequeno de casos, em 2024 foram registrados 517, </w:t>
      </w:r>
      <w:r w:rsidR="7BAF457E" w:rsidRPr="1D012FE1">
        <w:t xml:space="preserve">a cobertura vacinal está longe de voltar aos números desejados, acima de 95% em todo o país. </w:t>
      </w:r>
    </w:p>
    <w:p w14:paraId="0BCDD0CE" w14:textId="66C5B527" w:rsidR="72D3AC56" w:rsidRDefault="72D3AC56" w:rsidP="1D012FE1">
      <w:pPr>
        <w:spacing w:line="360" w:lineRule="auto"/>
        <w:ind w:firstLine="708"/>
        <w:jc w:val="both"/>
      </w:pPr>
      <w:r w:rsidRPr="1D012FE1">
        <w:t>No estado de São Paulo, estamos com uma média</w:t>
      </w:r>
      <w:r w:rsidR="0F0F5FD0" w:rsidRPr="1D012FE1">
        <w:t xml:space="preserve"> aproximada</w:t>
      </w:r>
      <w:r w:rsidRPr="1D012FE1">
        <w:t xml:space="preserve"> d</w:t>
      </w:r>
      <w:r w:rsidR="6D6BCB2D" w:rsidRPr="1D012FE1">
        <w:t>a</w:t>
      </w:r>
      <w:r w:rsidRPr="1D012FE1">
        <w:t xml:space="preserve"> cobertura vacinal de 89%</w:t>
      </w:r>
      <w:r w:rsidR="2DAB8233" w:rsidRPr="1D012FE1">
        <w:t xml:space="preserve">, 90% e 75% para as vacinas DTP (Coqueluche), </w:t>
      </w:r>
      <w:proofErr w:type="spellStart"/>
      <w:r w:rsidR="2DAB8233" w:rsidRPr="1D012FE1">
        <w:t>Meningo</w:t>
      </w:r>
      <w:proofErr w:type="spellEnd"/>
      <w:r w:rsidR="2DAB8233" w:rsidRPr="1D012FE1">
        <w:t xml:space="preserve"> C (Meningite Bacteriana</w:t>
      </w:r>
      <w:r w:rsidR="1FDC7DEB" w:rsidRPr="1D012FE1">
        <w:t xml:space="preserve">) e </w:t>
      </w:r>
      <w:proofErr w:type="spellStart"/>
      <w:r w:rsidR="1FDC7DEB" w:rsidRPr="1D012FE1">
        <w:t>Polio</w:t>
      </w:r>
      <w:proofErr w:type="spellEnd"/>
      <w:r w:rsidR="1FDC7DEB" w:rsidRPr="1D012FE1">
        <w:t xml:space="preserve"> (Poliomielite) </w:t>
      </w:r>
      <w:r w:rsidR="397CB5EE" w:rsidRPr="1D012FE1">
        <w:t>respectivamente.</w:t>
      </w:r>
    </w:p>
    <w:p w14:paraId="1367956B" w14:textId="376EA1E9" w:rsidR="1E05A6B1" w:rsidRDefault="1E05A6B1" w:rsidP="1D012FE1">
      <w:pPr>
        <w:pStyle w:val="Heading1"/>
        <w:spacing w:line="360" w:lineRule="auto"/>
        <w:jc w:val="both"/>
      </w:pPr>
      <w:bookmarkStart w:id="1" w:name="_Toc672757335"/>
      <w:r>
        <w:t>Objetivo</w:t>
      </w:r>
      <w:bookmarkEnd w:id="1"/>
    </w:p>
    <w:p w14:paraId="586D52CD" w14:textId="4359B968" w:rsidR="051534E7" w:rsidRDefault="051534E7" w:rsidP="1D012FE1">
      <w:pPr>
        <w:spacing w:line="360" w:lineRule="auto"/>
        <w:ind w:firstLine="708"/>
        <w:jc w:val="both"/>
      </w:pPr>
      <w:r>
        <w:t>O objetivo é criar uma plataforma para fácil visualização dos dados de vacinação, cobertura vacinal e casos de doenças por cidade</w:t>
      </w:r>
      <w:r w:rsidR="1136A930">
        <w:t>. Facilitando a rotina dos agentes de saúde envolvidos em campanhas de vacinação e apoia</w:t>
      </w:r>
      <w:r w:rsidR="31E3B83B">
        <w:t>ndo</w:t>
      </w:r>
      <w:r w:rsidR="1136A930">
        <w:t xml:space="preserve"> a tomada de decisão da secretária esta</w:t>
      </w:r>
      <w:r w:rsidR="7B2D9AAB">
        <w:t>dual sobre a política de vacinação no estado</w:t>
      </w:r>
      <w:r w:rsidR="47343D90">
        <w:t>.</w:t>
      </w:r>
    </w:p>
    <w:p w14:paraId="08C26206" w14:textId="1D70BE8F" w:rsidR="1E05A6B1" w:rsidRDefault="1E05A6B1" w:rsidP="1D012FE1">
      <w:pPr>
        <w:pStyle w:val="Heading1"/>
        <w:spacing w:line="360" w:lineRule="auto"/>
        <w:jc w:val="both"/>
      </w:pPr>
      <w:bookmarkStart w:id="2" w:name="_Toc2118332292"/>
      <w:r>
        <w:lastRenderedPageBreak/>
        <w:t>Justificativa</w:t>
      </w:r>
      <w:bookmarkEnd w:id="2"/>
    </w:p>
    <w:p w14:paraId="5731F753" w14:textId="2F585455" w:rsidR="4AA38D7E" w:rsidRDefault="6D1749BA" w:rsidP="1D012FE1">
      <w:pPr>
        <w:spacing w:line="360" w:lineRule="auto"/>
        <w:jc w:val="both"/>
      </w:pPr>
      <w:r>
        <w:t xml:space="preserve">A cobertura vacinal tem apresentado diminuição devido ao </w:t>
      </w:r>
      <w:r w:rsidR="2F9F9572">
        <w:t xml:space="preserve">aumento da hesitação vacinal, à exemplo da vacinação contra a </w:t>
      </w:r>
      <w:r w:rsidR="4703E0C6">
        <w:t>Poliomielite</w:t>
      </w:r>
      <w:r w:rsidR="2F9F9572">
        <w:t xml:space="preserve"> que </w:t>
      </w:r>
      <w:r w:rsidR="129E810B">
        <w:t>se encontra</w:t>
      </w:r>
      <w:r w:rsidR="2F9F9572">
        <w:t xml:space="preserve"> em 75%</w:t>
      </w:r>
      <w:r w:rsidR="5FBE9B0F">
        <w:t xml:space="preserve"> de cobertura</w:t>
      </w:r>
      <w:r w:rsidR="2F9F9572">
        <w:t>, distante dos 95% que seria o indicador para err</w:t>
      </w:r>
      <w:r w:rsidR="15024429">
        <w:t>adicação da doença e até dos 80% – 85%, o que a torna uma doença com risco epidemiológico.</w:t>
      </w:r>
      <w:r w:rsidR="629DA63E">
        <w:t xml:space="preserve"> De tal maneira, que em temporadas específicas, cria-se o risco de sobrecarga do sistema de saúde com doenças que são </w:t>
      </w:r>
      <w:r w:rsidR="0E2669A3">
        <w:t>prev</w:t>
      </w:r>
      <w:r w:rsidR="0204A9D3">
        <w:t>e</w:t>
      </w:r>
      <w:r w:rsidR="0E2669A3">
        <w:t>níveis</w:t>
      </w:r>
      <w:r w:rsidR="629DA63E">
        <w:t xml:space="preserve">, levando a danos </w:t>
      </w:r>
      <w:r w:rsidR="42D402C9">
        <w:t xml:space="preserve">e </w:t>
      </w:r>
      <w:r w:rsidR="000EBBF1">
        <w:t>prejuízos</w:t>
      </w:r>
      <w:r w:rsidR="42D402C9">
        <w:t xml:space="preserve"> </w:t>
      </w:r>
      <w:r w:rsidR="3BE1640C">
        <w:t xml:space="preserve">pela </w:t>
      </w:r>
      <w:r w:rsidR="42D402C9">
        <w:t>falta de assistência médica</w:t>
      </w:r>
      <w:r w:rsidR="628E4697">
        <w:t>.</w:t>
      </w:r>
    </w:p>
    <w:p w14:paraId="7252EF59" w14:textId="6442B211" w:rsidR="15024429" w:rsidRDefault="5C9753E8" w:rsidP="1D012FE1">
      <w:pPr>
        <w:spacing w:line="360" w:lineRule="auto"/>
        <w:jc w:val="both"/>
      </w:pPr>
      <w:r>
        <w:t xml:space="preserve">Assim, o não se vacinar gera um risco </w:t>
      </w:r>
      <w:r w:rsidR="16063F37">
        <w:t>individual</w:t>
      </w:r>
      <w:r>
        <w:t xml:space="preserve"> para o indivíduo que escolhe tal decisão. Entretanto, pensando na esfera pública, </w:t>
      </w:r>
      <w:r w:rsidR="3F516907">
        <w:t xml:space="preserve">torna-se </w:t>
      </w:r>
      <w:r w:rsidR="6D8B1BFE">
        <w:t xml:space="preserve">um risco coletivo. </w:t>
      </w:r>
      <w:r w:rsidR="055E5B63">
        <w:t>Doenças consideradas erradicadas podem retornar, necessitando apenas da presença de um novo paciente zero numa região antes segura.</w:t>
      </w:r>
    </w:p>
    <w:p w14:paraId="57CF6A25" w14:textId="6A143984" w:rsidR="055E5B63" w:rsidRDefault="055E5B63" w:rsidP="1D012FE1">
      <w:pPr>
        <w:spacing w:line="360" w:lineRule="auto"/>
        <w:jc w:val="both"/>
      </w:pPr>
      <w:r>
        <w:t>Outra questão, é o custo financeiro para o Estado. Em sua grande maioria a organização de políticas e campanhas de vacinação são</w:t>
      </w:r>
      <w:r w:rsidR="293DA05E">
        <w:t xml:space="preserve"> bem mais baratas que o custo de tratamento</w:t>
      </w:r>
      <w:r w:rsidR="3DEA8F24">
        <w:t>. Isso se torna um fator ainda mais relevante no Brasil, um país que possui um sistema universal de saúde, e que o orçamento da saúde abrange tanto a vacinação quanto ao tratamento</w:t>
      </w:r>
      <w:r w:rsidR="482C667F">
        <w:t>.</w:t>
      </w:r>
    </w:p>
    <w:p w14:paraId="3D5D8621" w14:textId="00D43457" w:rsidR="299D1612" w:rsidRDefault="39133A4D" w:rsidP="1D012FE1">
      <w:pPr>
        <w:spacing w:line="360" w:lineRule="auto"/>
        <w:jc w:val="both"/>
      </w:pPr>
      <w:r>
        <w:t>Portanto, uma plataforma de acesso a dados assertivos das doenças e da cobertura vacinal auxiliaria na tomada de decisão para reverter esse cenário desfavorável que vem crescendo</w:t>
      </w:r>
      <w:r w:rsidR="34E72070">
        <w:t>. Por meio da visualização de todo o estado, da visualização por cidades e por doenças, e isso tudo dividido p</w:t>
      </w:r>
      <w:r w:rsidR="09AA51E7">
        <w:t>or</w:t>
      </w:r>
      <w:r w:rsidR="34E72070">
        <w:t xml:space="preserve"> período</w:t>
      </w:r>
      <w:r w:rsidR="5221E5DE">
        <w:t>s</w:t>
      </w:r>
      <w:r w:rsidR="34E72070">
        <w:t xml:space="preserve"> anua</w:t>
      </w:r>
      <w:r w:rsidR="07BC493D">
        <w:t>is</w:t>
      </w:r>
      <w:r w:rsidR="34E72070">
        <w:t xml:space="preserve"> e mensa</w:t>
      </w:r>
      <w:r w:rsidR="2EA8297F">
        <w:t>is</w:t>
      </w:r>
      <w:r w:rsidR="5F96C9C0">
        <w:t>.</w:t>
      </w:r>
    </w:p>
    <w:p w14:paraId="7DBFB192" w14:textId="23895F65" w:rsidR="1E05A6B1" w:rsidRDefault="1E05A6B1" w:rsidP="1D012FE1">
      <w:pPr>
        <w:pStyle w:val="Heading1"/>
        <w:spacing w:line="360" w:lineRule="auto"/>
        <w:jc w:val="both"/>
      </w:pPr>
      <w:bookmarkStart w:id="3" w:name="_Toc2143901934"/>
      <w:r>
        <w:t>Escopo</w:t>
      </w:r>
      <w:bookmarkEnd w:id="3"/>
    </w:p>
    <w:p w14:paraId="6DCC1A04" w14:textId="7F01C074" w:rsidR="32DE9683" w:rsidRDefault="64AD439C" w:rsidP="1D012FE1">
      <w:pPr>
        <w:spacing w:line="360" w:lineRule="auto"/>
        <w:jc w:val="both"/>
      </w:pPr>
      <w:r>
        <w:t>Utilizar bases de dados públicas</w:t>
      </w:r>
      <w:r w:rsidR="7338838E">
        <w:t>, com dados das doenças e vacinas de poliomielite, coqueluche e meningite</w:t>
      </w:r>
      <w:r w:rsidR="49D6F2F9">
        <w:t xml:space="preserve"> dentro do estado de São Paulo, entre os anos de 2019 e 2024</w:t>
      </w:r>
      <w:r w:rsidR="7338838E">
        <w:t>.</w:t>
      </w:r>
      <w:r w:rsidR="7165A9A2">
        <w:t xml:space="preserve"> </w:t>
      </w:r>
      <w:r w:rsidR="6682C6EC">
        <w:t>E</w:t>
      </w:r>
      <w:r w:rsidR="7165A9A2">
        <w:t>xtrair os dados para uma instância na nuvem da AWS, instância com dois volumes e sistema operacional Linux</w:t>
      </w:r>
      <w:r w:rsidR="523F144B">
        <w:t>. Realizar o tratamento dos dados</w:t>
      </w:r>
      <w:r w:rsidR="538B5DAC">
        <w:t xml:space="preserve"> com Java e armazenar em banco de dados SQL. Disponibilizar os dados por meio de site inst</w:t>
      </w:r>
      <w:r w:rsidR="71D1A53B">
        <w:t>itu</w:t>
      </w:r>
      <w:r w:rsidR="77518C1D">
        <w:t xml:space="preserve">cional, programado </w:t>
      </w:r>
      <w:r w:rsidR="77518C1D">
        <w:lastRenderedPageBreak/>
        <w:t xml:space="preserve">com HTML, CSS e </w:t>
      </w:r>
      <w:proofErr w:type="spellStart"/>
      <w:r w:rsidR="77518C1D">
        <w:t>JavaScript</w:t>
      </w:r>
      <w:proofErr w:type="spellEnd"/>
      <w:r w:rsidR="77518C1D">
        <w:t xml:space="preserve">. Conectar o Front </w:t>
      </w:r>
      <w:proofErr w:type="spellStart"/>
      <w:r w:rsidR="77518C1D">
        <w:t>End</w:t>
      </w:r>
      <w:proofErr w:type="spellEnd"/>
      <w:r w:rsidR="77518C1D">
        <w:t xml:space="preserve"> com Back </w:t>
      </w:r>
      <w:proofErr w:type="spellStart"/>
      <w:r w:rsidR="77518C1D">
        <w:t>End</w:t>
      </w:r>
      <w:proofErr w:type="spellEnd"/>
      <w:r w:rsidR="77518C1D">
        <w:t xml:space="preserve"> através de </w:t>
      </w:r>
      <w:proofErr w:type="spellStart"/>
      <w:r w:rsidR="77518C1D">
        <w:t>NodeJs</w:t>
      </w:r>
      <w:proofErr w:type="spellEnd"/>
      <w:r w:rsidR="77518C1D">
        <w:t xml:space="preserve"> com a API Web</w:t>
      </w:r>
      <w:r w:rsidR="5766A13D">
        <w:t>-Data-Viz.</w:t>
      </w:r>
    </w:p>
    <w:p w14:paraId="06813E46" w14:textId="5B954622" w:rsidR="47A02700" w:rsidRDefault="47A02700" w:rsidP="1D012FE1">
      <w:pPr>
        <w:pStyle w:val="Heading1"/>
      </w:pPr>
      <w:bookmarkStart w:id="4" w:name="_Toc1102900236"/>
      <w:r>
        <w:t>Bibliografia</w:t>
      </w:r>
      <w:bookmarkEnd w:id="4"/>
    </w:p>
    <w:p w14:paraId="113B496B" w14:textId="41906DE1" w:rsidR="1D012FE1" w:rsidRDefault="1D012FE1" w:rsidP="1D012FE1"/>
    <w:p w14:paraId="04ABC6E0" w14:textId="4082E694" w:rsidR="4C7AB0B2" w:rsidRDefault="4C7AB0B2" w:rsidP="1D012FE1">
      <w:pPr>
        <w:spacing w:line="360" w:lineRule="auto"/>
        <w:jc w:val="both"/>
      </w:pPr>
      <w:r>
        <w:t xml:space="preserve">BARBIERI, Carolina Luísa Alves; MARTINS Lourdes Conceição; PAMPLONA, </w:t>
      </w:r>
      <w:proofErr w:type="spellStart"/>
      <w:r>
        <w:t>Ysabely</w:t>
      </w:r>
      <w:proofErr w:type="spellEnd"/>
      <w:r>
        <w:t xml:space="preserve"> de Aguiar Pontes. </w:t>
      </w:r>
      <w:r w:rsidRPr="1D012FE1">
        <w:rPr>
          <w:b/>
          <w:bCs/>
        </w:rPr>
        <w:t>Imunização e cobertura vacinal</w:t>
      </w:r>
      <w:r>
        <w:t xml:space="preserve">: passado, presente e futuro. Editora Universitária </w:t>
      </w:r>
      <w:proofErr w:type="spellStart"/>
      <w:r>
        <w:t>Leopoldianum</w:t>
      </w:r>
      <w:proofErr w:type="spellEnd"/>
      <w:r>
        <w:t xml:space="preserve">, Santos - SP, p. 221, 2021. Disponível em: </w:t>
      </w:r>
      <w:hyperlink r:id="rId6">
        <w:r w:rsidRPr="1D012FE1">
          <w:rPr>
            <w:rStyle w:val="Hyperlink"/>
          </w:rPr>
          <w:t>https://www.unisantos.br/wp-content/uploads/2021/05/IMUNIZA%C3%87%C3%83O.pdf</w:t>
        </w:r>
      </w:hyperlink>
      <w:r>
        <w:t xml:space="preserve"> . Acesso em: 13 fev. 2025.</w:t>
      </w:r>
    </w:p>
    <w:p w14:paraId="071F2E86" w14:textId="46B3FACD" w:rsidR="6C19DCFF" w:rsidRDefault="6C19DCFF" w:rsidP="1D012FE1">
      <w:pPr>
        <w:spacing w:line="360" w:lineRule="auto"/>
        <w:jc w:val="both"/>
      </w:pPr>
      <w:r>
        <w:t>LOPES, Myriam B</w:t>
      </w:r>
      <w:r w:rsidR="324AD301">
        <w:t>ahia</w:t>
      </w:r>
      <w:r>
        <w:t xml:space="preserve">; POLITO, Ronald. </w:t>
      </w:r>
      <w:r w:rsidRPr="1D012FE1">
        <w:rPr>
          <w:b/>
          <w:bCs/>
        </w:rPr>
        <w:t>Para uma história da vacina no Brasil</w:t>
      </w:r>
      <w:r>
        <w:t xml:space="preserve">: um manuscrito inédito de Norberto e Macedo. </w:t>
      </w:r>
      <w:r w:rsidRPr="1D012FE1">
        <w:rPr>
          <w:i/>
          <w:iCs/>
        </w:rPr>
        <w:t>História, Ciências, Saúde – Manguinhos</w:t>
      </w:r>
      <w:r>
        <w:t>, Rio de Janeiro</w:t>
      </w:r>
      <w:r w:rsidR="337D59CE">
        <w:t xml:space="preserve"> - RJ</w:t>
      </w:r>
      <w:r>
        <w:t>, v.14, n.2, p.595-605, abr.-jun. 2007</w:t>
      </w:r>
      <w:r w:rsidR="42ABFD02">
        <w:t>.</w:t>
      </w:r>
      <w:r w:rsidR="441434EC">
        <w:t xml:space="preserve"> Disponível em: </w:t>
      </w:r>
      <w:hyperlink r:id="rId7">
        <w:r w:rsidR="441434EC" w:rsidRPr="1D012FE1">
          <w:rPr>
            <w:rStyle w:val="Hyperlink"/>
          </w:rPr>
          <w:t>https://www.scielo.br/j/hcsm/a/VtJBwJcHSt8GdfpVmWZPNCk/?lang=pt&amp;format=pdf</w:t>
        </w:r>
      </w:hyperlink>
      <w:r w:rsidR="143AC463">
        <w:t xml:space="preserve"> .</w:t>
      </w:r>
      <w:r w:rsidR="441434EC">
        <w:t xml:space="preserve"> Ace</w:t>
      </w:r>
      <w:r w:rsidR="0207E563">
        <w:t>sso em: 13 fev. 2025.</w:t>
      </w:r>
    </w:p>
    <w:p w14:paraId="3F7432D6" w14:textId="599576A8" w:rsidR="1FDE9726" w:rsidRDefault="1FDE9726" w:rsidP="1D012FE1">
      <w:pPr>
        <w:spacing w:line="360" w:lineRule="auto"/>
        <w:jc w:val="both"/>
      </w:pPr>
      <w:r w:rsidRPr="1D012FE1">
        <w:rPr>
          <w:b/>
          <w:bCs/>
        </w:rPr>
        <w:t>Ministério da Saúde</w:t>
      </w:r>
      <w:r>
        <w:t xml:space="preserve">. Saúde de A </w:t>
      </w:r>
      <w:proofErr w:type="spellStart"/>
      <w:r>
        <w:t>a</w:t>
      </w:r>
      <w:proofErr w:type="spellEnd"/>
      <w:r>
        <w:t xml:space="preserve"> Z. Disponível em: https://www.gov.br/saude/pt-br/assuntos/saude-de-a-a-z. Acesso em: 13 fev. 2025.</w:t>
      </w:r>
    </w:p>
    <w:p w14:paraId="589000AD" w14:textId="5AF930D5" w:rsidR="1FDE9726" w:rsidRDefault="1FDE9726" w:rsidP="1D012FE1">
      <w:pPr>
        <w:spacing w:line="360" w:lineRule="auto"/>
        <w:jc w:val="both"/>
      </w:pPr>
      <w:r>
        <w:t xml:space="preserve">SATO, Ana Paula </w:t>
      </w:r>
      <w:proofErr w:type="spellStart"/>
      <w:r>
        <w:t>Sayuri</w:t>
      </w:r>
      <w:proofErr w:type="spellEnd"/>
      <w:r>
        <w:t xml:space="preserve">. </w:t>
      </w:r>
      <w:r w:rsidRPr="1D012FE1">
        <w:rPr>
          <w:b/>
          <w:bCs/>
        </w:rPr>
        <w:t>Qual a Importância da Hesitação Vacinal na Queda das Coberturas Vacinais no Brasil?</w:t>
      </w:r>
      <w:r>
        <w:t xml:space="preserve"> </w:t>
      </w:r>
      <w:r w:rsidRPr="1D012FE1">
        <w:rPr>
          <w:i/>
          <w:iCs/>
        </w:rPr>
        <w:t>Revista de Saúde Pública</w:t>
      </w:r>
      <w:r>
        <w:t xml:space="preserve">, p. 52 – 96, 2018. Disponível em: </w:t>
      </w:r>
      <w:hyperlink r:id="rId8">
        <w:r w:rsidRPr="1D012FE1">
          <w:rPr>
            <w:rStyle w:val="Hyperlink"/>
          </w:rPr>
          <w:t>https://www.scielo.br/j/rsp/a/CS5YRcMc3z4Cq4QtSBDLXXG/?lang=pt&amp;format=pdf</w:t>
        </w:r>
      </w:hyperlink>
      <w:r>
        <w:t xml:space="preserve"> . Acesso em: 13 fev. 2025.</w:t>
      </w:r>
    </w:p>
    <w:p w14:paraId="2BAF7806" w14:textId="3BB9A9D3" w:rsidR="668D2891" w:rsidRDefault="668D2891" w:rsidP="1D012FE1">
      <w:pPr>
        <w:spacing w:line="360" w:lineRule="auto"/>
        <w:jc w:val="both"/>
      </w:pPr>
      <w:r>
        <w:t>TEM</w:t>
      </w:r>
      <w:r w:rsidR="41162E31">
        <w:t>PORÃO</w:t>
      </w:r>
      <w:r>
        <w:t>, J</w:t>
      </w:r>
      <w:r w:rsidR="73C26FA0">
        <w:t>osé</w:t>
      </w:r>
      <w:r>
        <w:t xml:space="preserve"> G</w:t>
      </w:r>
      <w:r w:rsidR="179A26D3">
        <w:t>omes</w:t>
      </w:r>
      <w:r w:rsidR="637736E0">
        <w:t>.</w:t>
      </w:r>
      <w:r w:rsidR="6DECA608">
        <w:t xml:space="preserve"> </w:t>
      </w:r>
      <w:r w:rsidRPr="1D012FE1">
        <w:rPr>
          <w:b/>
          <w:bCs/>
        </w:rPr>
        <w:t xml:space="preserve">O Programa Nacional de </w:t>
      </w:r>
      <w:r w:rsidR="06AAC0A5" w:rsidRPr="1D012FE1">
        <w:rPr>
          <w:b/>
          <w:bCs/>
        </w:rPr>
        <w:t xml:space="preserve">Imunizações </w:t>
      </w:r>
      <w:r w:rsidRPr="1D012FE1">
        <w:rPr>
          <w:b/>
          <w:bCs/>
        </w:rPr>
        <w:t>(PNI)</w:t>
      </w:r>
      <w:r>
        <w:t xml:space="preserve">: origens e </w:t>
      </w:r>
      <w:r w:rsidR="086B11A2">
        <w:t>desenvolvimento</w:t>
      </w:r>
      <w:r>
        <w:t xml:space="preserve">. </w:t>
      </w:r>
      <w:r w:rsidRPr="1D012FE1">
        <w:rPr>
          <w:i/>
          <w:iCs/>
        </w:rPr>
        <w:t>História, Ciências, Saúde – Manguinhos</w:t>
      </w:r>
      <w:r>
        <w:t xml:space="preserve">, </w:t>
      </w:r>
      <w:r w:rsidR="3FA9E3FD">
        <w:t>Rio de Janeiro</w:t>
      </w:r>
      <w:r w:rsidR="2B683E54">
        <w:t xml:space="preserve"> - RJ</w:t>
      </w:r>
      <w:r w:rsidR="3FA9E3FD">
        <w:t xml:space="preserve">, </w:t>
      </w:r>
      <w:r>
        <w:t xml:space="preserve">v. 10 (suplemento 2): </w:t>
      </w:r>
      <w:r w:rsidR="554FDEED">
        <w:t xml:space="preserve">p. </w:t>
      </w:r>
      <w:r>
        <w:t>601-</w:t>
      </w:r>
      <w:r w:rsidR="0F879C59">
        <w:t>6</w:t>
      </w:r>
      <w:r>
        <w:t>17, 2003</w:t>
      </w:r>
      <w:r w:rsidR="42ABFD02">
        <w:t>.</w:t>
      </w:r>
      <w:r w:rsidR="76E1B941">
        <w:t xml:space="preserve"> Disponível em: </w:t>
      </w:r>
      <w:hyperlink r:id="rId9">
        <w:r w:rsidR="76E1B941" w:rsidRPr="1D012FE1">
          <w:rPr>
            <w:rStyle w:val="Hyperlink"/>
          </w:rPr>
          <w:t>https://www.scielo.br/j/hcsm/a/XqLKLcj6NYjHdywSF6XPRZs/?lang=pt&amp;format=pdf</w:t>
        </w:r>
      </w:hyperlink>
      <w:r w:rsidR="76E1B941">
        <w:t xml:space="preserve"> . Acesso em: 13 fev. 2025.</w:t>
      </w:r>
    </w:p>
    <w:sectPr w:rsidR="668D28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8B395"/>
    <w:multiLevelType w:val="hybridMultilevel"/>
    <w:tmpl w:val="57724BE6"/>
    <w:lvl w:ilvl="0" w:tplc="41DAB4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CD4DC2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FEAA3F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98C575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D2687B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D5C4C8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2D2F82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574720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E9448C5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3CDEF"/>
    <w:multiLevelType w:val="hybridMultilevel"/>
    <w:tmpl w:val="69C2C76A"/>
    <w:lvl w:ilvl="0" w:tplc="B144EEEE">
      <w:start w:val="1"/>
      <w:numFmt w:val="decimal"/>
      <w:lvlText w:val="%1."/>
      <w:lvlJc w:val="left"/>
      <w:pPr>
        <w:ind w:left="720" w:hanging="360"/>
      </w:pPr>
    </w:lvl>
    <w:lvl w:ilvl="1" w:tplc="ADF647B2">
      <w:start w:val="1"/>
      <w:numFmt w:val="lowerLetter"/>
      <w:lvlText w:val="%2."/>
      <w:lvlJc w:val="left"/>
      <w:pPr>
        <w:ind w:left="1440" w:hanging="360"/>
      </w:pPr>
    </w:lvl>
    <w:lvl w:ilvl="2" w:tplc="EF12176C">
      <w:start w:val="1"/>
      <w:numFmt w:val="lowerRoman"/>
      <w:lvlText w:val="%3."/>
      <w:lvlJc w:val="right"/>
      <w:pPr>
        <w:ind w:left="2160" w:hanging="180"/>
      </w:pPr>
    </w:lvl>
    <w:lvl w:ilvl="3" w:tplc="130E839E">
      <w:start w:val="1"/>
      <w:numFmt w:val="decimal"/>
      <w:lvlText w:val="%4."/>
      <w:lvlJc w:val="left"/>
      <w:pPr>
        <w:ind w:left="2880" w:hanging="360"/>
      </w:pPr>
    </w:lvl>
    <w:lvl w:ilvl="4" w:tplc="B6881912">
      <w:start w:val="1"/>
      <w:numFmt w:val="lowerLetter"/>
      <w:lvlText w:val="%5."/>
      <w:lvlJc w:val="left"/>
      <w:pPr>
        <w:ind w:left="3600" w:hanging="360"/>
      </w:pPr>
    </w:lvl>
    <w:lvl w:ilvl="5" w:tplc="1696B5AC">
      <w:start w:val="1"/>
      <w:numFmt w:val="lowerRoman"/>
      <w:lvlText w:val="%6."/>
      <w:lvlJc w:val="right"/>
      <w:pPr>
        <w:ind w:left="4320" w:hanging="180"/>
      </w:pPr>
    </w:lvl>
    <w:lvl w:ilvl="6" w:tplc="385EEEF8">
      <w:start w:val="1"/>
      <w:numFmt w:val="decimal"/>
      <w:lvlText w:val="%7."/>
      <w:lvlJc w:val="left"/>
      <w:pPr>
        <w:ind w:left="5040" w:hanging="360"/>
      </w:pPr>
    </w:lvl>
    <w:lvl w:ilvl="7" w:tplc="31749FFC">
      <w:start w:val="1"/>
      <w:numFmt w:val="lowerLetter"/>
      <w:lvlText w:val="%8."/>
      <w:lvlJc w:val="left"/>
      <w:pPr>
        <w:ind w:left="5760" w:hanging="360"/>
      </w:pPr>
    </w:lvl>
    <w:lvl w:ilvl="8" w:tplc="F19A69C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150167">
    <w:abstractNumId w:val="0"/>
  </w:num>
  <w:num w:numId="2" w16cid:durableId="1837526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6BFC29"/>
    <w:rsid w:val="0002C42A"/>
    <w:rsid w:val="000EBBF1"/>
    <w:rsid w:val="001308B7"/>
    <w:rsid w:val="005E8AFF"/>
    <w:rsid w:val="00727865"/>
    <w:rsid w:val="009D9095"/>
    <w:rsid w:val="00DC6BB6"/>
    <w:rsid w:val="00DEE584"/>
    <w:rsid w:val="00ED7EED"/>
    <w:rsid w:val="012C66CF"/>
    <w:rsid w:val="0204A9D3"/>
    <w:rsid w:val="0207E563"/>
    <w:rsid w:val="02A5B6C6"/>
    <w:rsid w:val="038098CB"/>
    <w:rsid w:val="042C5122"/>
    <w:rsid w:val="04D631BC"/>
    <w:rsid w:val="051534E7"/>
    <w:rsid w:val="055E5B63"/>
    <w:rsid w:val="056A1BDD"/>
    <w:rsid w:val="059C61A8"/>
    <w:rsid w:val="0653A85E"/>
    <w:rsid w:val="06A18058"/>
    <w:rsid w:val="06AAC0A5"/>
    <w:rsid w:val="06C39792"/>
    <w:rsid w:val="073FD87D"/>
    <w:rsid w:val="07784F64"/>
    <w:rsid w:val="077E56A9"/>
    <w:rsid w:val="078B5C27"/>
    <w:rsid w:val="07B93882"/>
    <w:rsid w:val="07BC493D"/>
    <w:rsid w:val="086B11A2"/>
    <w:rsid w:val="09AA51E7"/>
    <w:rsid w:val="0A0ECE03"/>
    <w:rsid w:val="0A9107D1"/>
    <w:rsid w:val="0A98AAA1"/>
    <w:rsid w:val="0AA82250"/>
    <w:rsid w:val="0AB89021"/>
    <w:rsid w:val="0B3911F4"/>
    <w:rsid w:val="0B6E3D06"/>
    <w:rsid w:val="0BADAE16"/>
    <w:rsid w:val="0D44EDA7"/>
    <w:rsid w:val="0DB86971"/>
    <w:rsid w:val="0DE6D9B0"/>
    <w:rsid w:val="0DE9DBBF"/>
    <w:rsid w:val="0E2669A3"/>
    <w:rsid w:val="0E3F6EEA"/>
    <w:rsid w:val="0E4B5888"/>
    <w:rsid w:val="0ED607EF"/>
    <w:rsid w:val="0EF24973"/>
    <w:rsid w:val="0F0F5FD0"/>
    <w:rsid w:val="0F879C59"/>
    <w:rsid w:val="0FD05B51"/>
    <w:rsid w:val="0FF27424"/>
    <w:rsid w:val="10912D5C"/>
    <w:rsid w:val="1136A930"/>
    <w:rsid w:val="11ADC054"/>
    <w:rsid w:val="11E2E738"/>
    <w:rsid w:val="11F2A46C"/>
    <w:rsid w:val="1253DE18"/>
    <w:rsid w:val="1271F640"/>
    <w:rsid w:val="12791E34"/>
    <w:rsid w:val="129E810B"/>
    <w:rsid w:val="12CF4B36"/>
    <w:rsid w:val="12E0B5D6"/>
    <w:rsid w:val="1361A954"/>
    <w:rsid w:val="1391489B"/>
    <w:rsid w:val="143AC463"/>
    <w:rsid w:val="15024429"/>
    <w:rsid w:val="1552A6E4"/>
    <w:rsid w:val="16063F37"/>
    <w:rsid w:val="163C53A9"/>
    <w:rsid w:val="1725DC90"/>
    <w:rsid w:val="178A9438"/>
    <w:rsid w:val="179A26D3"/>
    <w:rsid w:val="17F715A0"/>
    <w:rsid w:val="185542E4"/>
    <w:rsid w:val="18C00B47"/>
    <w:rsid w:val="1915383A"/>
    <w:rsid w:val="1A0686E5"/>
    <w:rsid w:val="1A75A006"/>
    <w:rsid w:val="1B046EC2"/>
    <w:rsid w:val="1B4F1DD6"/>
    <w:rsid w:val="1C9A7D6D"/>
    <w:rsid w:val="1CCF08D6"/>
    <w:rsid w:val="1D012FE1"/>
    <w:rsid w:val="1E05A6B1"/>
    <w:rsid w:val="1E7309B2"/>
    <w:rsid w:val="1E874733"/>
    <w:rsid w:val="1EA30F97"/>
    <w:rsid w:val="1EA364A5"/>
    <w:rsid w:val="1F858E6A"/>
    <w:rsid w:val="1FBEA161"/>
    <w:rsid w:val="1FDC7DEB"/>
    <w:rsid w:val="1FDE9726"/>
    <w:rsid w:val="20D4F008"/>
    <w:rsid w:val="2120F5A7"/>
    <w:rsid w:val="2236160B"/>
    <w:rsid w:val="224D4D39"/>
    <w:rsid w:val="231578B9"/>
    <w:rsid w:val="2366E3F6"/>
    <w:rsid w:val="24931989"/>
    <w:rsid w:val="24B0083A"/>
    <w:rsid w:val="250A2A39"/>
    <w:rsid w:val="2574CA37"/>
    <w:rsid w:val="257BF932"/>
    <w:rsid w:val="261FD9E4"/>
    <w:rsid w:val="267C48AE"/>
    <w:rsid w:val="273FA45C"/>
    <w:rsid w:val="274D66F7"/>
    <w:rsid w:val="275D32ED"/>
    <w:rsid w:val="27C0B2BC"/>
    <w:rsid w:val="27C100A2"/>
    <w:rsid w:val="282648E8"/>
    <w:rsid w:val="293DA05E"/>
    <w:rsid w:val="29414446"/>
    <w:rsid w:val="296670E3"/>
    <w:rsid w:val="299D1612"/>
    <w:rsid w:val="2A8C5C47"/>
    <w:rsid w:val="2AD2C87F"/>
    <w:rsid w:val="2B1FF27C"/>
    <w:rsid w:val="2B59A74C"/>
    <w:rsid w:val="2B683E54"/>
    <w:rsid w:val="2C07CB9C"/>
    <w:rsid w:val="2C63802F"/>
    <w:rsid w:val="2DAB8233"/>
    <w:rsid w:val="2E82E7EF"/>
    <w:rsid w:val="2EA8297F"/>
    <w:rsid w:val="2EE3CED0"/>
    <w:rsid w:val="2EEBAB9C"/>
    <w:rsid w:val="2EECF2D9"/>
    <w:rsid w:val="2F05548B"/>
    <w:rsid w:val="2F8B7BD9"/>
    <w:rsid w:val="2F8C084D"/>
    <w:rsid w:val="2F9F9572"/>
    <w:rsid w:val="2FCBB5FD"/>
    <w:rsid w:val="30FA36B6"/>
    <w:rsid w:val="31E3B83B"/>
    <w:rsid w:val="324AD301"/>
    <w:rsid w:val="32DE9683"/>
    <w:rsid w:val="335AF955"/>
    <w:rsid w:val="337D59CE"/>
    <w:rsid w:val="33BA3C73"/>
    <w:rsid w:val="3406199C"/>
    <w:rsid w:val="34E72070"/>
    <w:rsid w:val="36968CEB"/>
    <w:rsid w:val="36D50C73"/>
    <w:rsid w:val="376A4A80"/>
    <w:rsid w:val="376CC24A"/>
    <w:rsid w:val="38190DEB"/>
    <w:rsid w:val="38E4F025"/>
    <w:rsid w:val="39133A4D"/>
    <w:rsid w:val="3974E969"/>
    <w:rsid w:val="397CB5EE"/>
    <w:rsid w:val="39ED6CEB"/>
    <w:rsid w:val="39FDB0C2"/>
    <w:rsid w:val="3A3B814D"/>
    <w:rsid w:val="3AFAB93E"/>
    <w:rsid w:val="3B0AF138"/>
    <w:rsid w:val="3BE1640C"/>
    <w:rsid w:val="3C55D43C"/>
    <w:rsid w:val="3C5C1DC9"/>
    <w:rsid w:val="3C6B6228"/>
    <w:rsid w:val="3DDD36FE"/>
    <w:rsid w:val="3DEA8F24"/>
    <w:rsid w:val="3E050938"/>
    <w:rsid w:val="3E855577"/>
    <w:rsid w:val="3EA4DA89"/>
    <w:rsid w:val="3ECF898D"/>
    <w:rsid w:val="3EE79C2C"/>
    <w:rsid w:val="3F516907"/>
    <w:rsid w:val="3F77D2B7"/>
    <w:rsid w:val="3FA9E3FD"/>
    <w:rsid w:val="3FE42370"/>
    <w:rsid w:val="3FE6C56B"/>
    <w:rsid w:val="406755BD"/>
    <w:rsid w:val="41162E31"/>
    <w:rsid w:val="41507B68"/>
    <w:rsid w:val="4186917F"/>
    <w:rsid w:val="41DF6C5D"/>
    <w:rsid w:val="420513C9"/>
    <w:rsid w:val="42ABFD02"/>
    <w:rsid w:val="42D402C9"/>
    <w:rsid w:val="42E488E8"/>
    <w:rsid w:val="43017BEF"/>
    <w:rsid w:val="43AEBF3A"/>
    <w:rsid w:val="43C110F5"/>
    <w:rsid w:val="441434EC"/>
    <w:rsid w:val="441DCBAB"/>
    <w:rsid w:val="45A86E18"/>
    <w:rsid w:val="46749BF0"/>
    <w:rsid w:val="46A7768D"/>
    <w:rsid w:val="46AA6F10"/>
    <w:rsid w:val="46CF1B76"/>
    <w:rsid w:val="4703E0C6"/>
    <w:rsid w:val="47343D90"/>
    <w:rsid w:val="4789CA11"/>
    <w:rsid w:val="47A02700"/>
    <w:rsid w:val="4828810D"/>
    <w:rsid w:val="482C667F"/>
    <w:rsid w:val="48457BE2"/>
    <w:rsid w:val="49BAAD39"/>
    <w:rsid w:val="49D6F2F9"/>
    <w:rsid w:val="4A084751"/>
    <w:rsid w:val="4AA38D7E"/>
    <w:rsid w:val="4AA87970"/>
    <w:rsid w:val="4B7AE98E"/>
    <w:rsid w:val="4C7AB0B2"/>
    <w:rsid w:val="4E4BA03A"/>
    <w:rsid w:val="4FBC1196"/>
    <w:rsid w:val="4FEAFCAA"/>
    <w:rsid w:val="50226B10"/>
    <w:rsid w:val="51C15481"/>
    <w:rsid w:val="51FD3372"/>
    <w:rsid w:val="5221E5DE"/>
    <w:rsid w:val="52305FD6"/>
    <w:rsid w:val="523F144B"/>
    <w:rsid w:val="52B82461"/>
    <w:rsid w:val="531284B1"/>
    <w:rsid w:val="538B5DAC"/>
    <w:rsid w:val="53F379EB"/>
    <w:rsid w:val="540E5142"/>
    <w:rsid w:val="548E2618"/>
    <w:rsid w:val="54FBBAC7"/>
    <w:rsid w:val="554FDEED"/>
    <w:rsid w:val="558C3D27"/>
    <w:rsid w:val="5681CE4D"/>
    <w:rsid w:val="56905731"/>
    <w:rsid w:val="5716F072"/>
    <w:rsid w:val="574E389F"/>
    <w:rsid w:val="5766A13D"/>
    <w:rsid w:val="57B1270A"/>
    <w:rsid w:val="57C606F0"/>
    <w:rsid w:val="57EC00EC"/>
    <w:rsid w:val="5842B294"/>
    <w:rsid w:val="590FD1F1"/>
    <w:rsid w:val="5930EF1C"/>
    <w:rsid w:val="5AE3348A"/>
    <w:rsid w:val="5B003067"/>
    <w:rsid w:val="5BB2137E"/>
    <w:rsid w:val="5BD61F92"/>
    <w:rsid w:val="5C520D0C"/>
    <w:rsid w:val="5C8C0DBD"/>
    <w:rsid w:val="5C9753E8"/>
    <w:rsid w:val="5D169C79"/>
    <w:rsid w:val="5D19BAFB"/>
    <w:rsid w:val="5D3BE9D7"/>
    <w:rsid w:val="5EDC9D83"/>
    <w:rsid w:val="5F28C396"/>
    <w:rsid w:val="5F96C9C0"/>
    <w:rsid w:val="5FBE9B0F"/>
    <w:rsid w:val="5FBF8EA7"/>
    <w:rsid w:val="600C158C"/>
    <w:rsid w:val="60A83BC2"/>
    <w:rsid w:val="610FCA05"/>
    <w:rsid w:val="612C9BBC"/>
    <w:rsid w:val="6141797D"/>
    <w:rsid w:val="6158BEFB"/>
    <w:rsid w:val="618A9B71"/>
    <w:rsid w:val="61C2121C"/>
    <w:rsid w:val="61D44726"/>
    <w:rsid w:val="61F9BAB2"/>
    <w:rsid w:val="628E4697"/>
    <w:rsid w:val="629DA63E"/>
    <w:rsid w:val="62C1A26C"/>
    <w:rsid w:val="62CF6CAA"/>
    <w:rsid w:val="632A364A"/>
    <w:rsid w:val="637736E0"/>
    <w:rsid w:val="64AD439C"/>
    <w:rsid w:val="64C597A8"/>
    <w:rsid w:val="64F6711D"/>
    <w:rsid w:val="64FAA659"/>
    <w:rsid w:val="65395F60"/>
    <w:rsid w:val="6556B715"/>
    <w:rsid w:val="6557C78B"/>
    <w:rsid w:val="65CA3CB0"/>
    <w:rsid w:val="665CE8D0"/>
    <w:rsid w:val="6682C6EC"/>
    <w:rsid w:val="668D2891"/>
    <w:rsid w:val="66E211E1"/>
    <w:rsid w:val="6776E684"/>
    <w:rsid w:val="68302827"/>
    <w:rsid w:val="685124F6"/>
    <w:rsid w:val="68772062"/>
    <w:rsid w:val="689E1C9E"/>
    <w:rsid w:val="68CC275F"/>
    <w:rsid w:val="696FDAD8"/>
    <w:rsid w:val="6A1C4C2D"/>
    <w:rsid w:val="6A5268EC"/>
    <w:rsid w:val="6B6BFC29"/>
    <w:rsid w:val="6BA45251"/>
    <w:rsid w:val="6C19DCFF"/>
    <w:rsid w:val="6C66BEE0"/>
    <w:rsid w:val="6CAB0A9F"/>
    <w:rsid w:val="6CBD4131"/>
    <w:rsid w:val="6D1749BA"/>
    <w:rsid w:val="6D6BCB2D"/>
    <w:rsid w:val="6D8922CC"/>
    <w:rsid w:val="6D8B1BFE"/>
    <w:rsid w:val="6DECA608"/>
    <w:rsid w:val="6EE48AC3"/>
    <w:rsid w:val="6F05B4D7"/>
    <w:rsid w:val="6F328FDF"/>
    <w:rsid w:val="707C62C1"/>
    <w:rsid w:val="712AD780"/>
    <w:rsid w:val="715E8DD3"/>
    <w:rsid w:val="7165A9A2"/>
    <w:rsid w:val="71D1A53B"/>
    <w:rsid w:val="7224D311"/>
    <w:rsid w:val="72469FBB"/>
    <w:rsid w:val="72C169D5"/>
    <w:rsid w:val="72CF78E6"/>
    <w:rsid w:val="72D3AC56"/>
    <w:rsid w:val="72E6B0DD"/>
    <w:rsid w:val="72E70AF5"/>
    <w:rsid w:val="72EDE8D3"/>
    <w:rsid w:val="72FEA610"/>
    <w:rsid w:val="7338838E"/>
    <w:rsid w:val="73C26FA0"/>
    <w:rsid w:val="74B44B5C"/>
    <w:rsid w:val="74E15EB7"/>
    <w:rsid w:val="751A9371"/>
    <w:rsid w:val="758EE8B9"/>
    <w:rsid w:val="75D75B72"/>
    <w:rsid w:val="75DAB136"/>
    <w:rsid w:val="7616F1CB"/>
    <w:rsid w:val="764B525B"/>
    <w:rsid w:val="76DD6B33"/>
    <w:rsid w:val="76E1B941"/>
    <w:rsid w:val="77006659"/>
    <w:rsid w:val="7701EF2F"/>
    <w:rsid w:val="7707766D"/>
    <w:rsid w:val="77518C1D"/>
    <w:rsid w:val="775ACF4C"/>
    <w:rsid w:val="7828561E"/>
    <w:rsid w:val="78C909C0"/>
    <w:rsid w:val="78FDFAF6"/>
    <w:rsid w:val="793FAAA0"/>
    <w:rsid w:val="797999E6"/>
    <w:rsid w:val="79A7751A"/>
    <w:rsid w:val="79DAF721"/>
    <w:rsid w:val="79E6E5E5"/>
    <w:rsid w:val="7A16A8D0"/>
    <w:rsid w:val="7AE96A96"/>
    <w:rsid w:val="7B2D9AAB"/>
    <w:rsid w:val="7BAF457E"/>
    <w:rsid w:val="7C17E34E"/>
    <w:rsid w:val="7C547F52"/>
    <w:rsid w:val="7CCC1248"/>
    <w:rsid w:val="7DB846D1"/>
    <w:rsid w:val="7DFD6941"/>
    <w:rsid w:val="7E25A887"/>
    <w:rsid w:val="7EC3F571"/>
    <w:rsid w:val="7FF65FB7"/>
    <w:rsid w:val="7FF9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FC29"/>
  <w15:chartTrackingRefBased/>
  <w15:docId w15:val="{2E972B6E-C6F1-4068-B7DD-E23AA6DA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27865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1D012FE1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1D012FE1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1D012F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lo.br/j/rsp/a/CS5YRcMc3z4Cq4QtSBDLXXG/?lang=pt&amp;format=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lo.br/j/hcsm/a/VtJBwJcHSt8GdfpVmWZPNCk/?lang=pt&amp;format=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santos.br/wp-content/uploads/2021/05/IMUNIZA%C3%87%C3%83O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lo.br/j/hcsm/a/XqLKLcj6NYjHdywSF6XPRZs/?lang=pt&amp;format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1338</Words>
  <Characters>7227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FERNANDES FERRO ANGI .</dc:creator>
  <cp:keywords/>
  <dc:description/>
  <cp:lastModifiedBy>FÁBIAM DAMACENO DA SILVA .</cp:lastModifiedBy>
  <cp:revision>3</cp:revision>
  <cp:lastPrinted>2025-03-17T02:47:00Z</cp:lastPrinted>
  <dcterms:created xsi:type="dcterms:W3CDTF">2025-03-07T20:13:00Z</dcterms:created>
  <dcterms:modified xsi:type="dcterms:W3CDTF">2025-03-17T02:48:00Z</dcterms:modified>
</cp:coreProperties>
</file>